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6A" w:rsidRDefault="00F5676A">
      <w:bookmarkStart w:id="0" w:name="_GoBack"/>
      <w:bookmarkEnd w:id="0"/>
    </w:p>
    <w:p w:rsidR="00F5676A" w:rsidRDefault="00F5676A">
      <w:r w:rsidRPr="00F5676A">
        <w:rPr>
          <w:u w:val="single"/>
        </w:rPr>
        <w:t>Assessment of student learning</w:t>
      </w:r>
      <w:r>
        <w:t xml:space="preserve"> is the systematic collection and interpretation of evidence of student learning with the aim of improving student learning and increasing student success. </w:t>
      </w:r>
      <w:r w:rsidR="00B32DDF">
        <w:t>This handout suggests some starting points for assessment of student learning, largely at the programmatic level.</w:t>
      </w:r>
    </w:p>
    <w:p w:rsidR="00AA4F4E" w:rsidRDefault="00F5676A">
      <w:r>
        <w:t xml:space="preserve">Assessment </w:t>
      </w:r>
      <w:r w:rsidR="00F01BCA">
        <w:t>can be organized into six steps. T</w:t>
      </w:r>
      <w:r>
        <w:t xml:space="preserve">hose with </w:t>
      </w:r>
      <w:r w:rsidR="00F01BCA">
        <w:t>little</w:t>
      </w:r>
      <w:r>
        <w:t xml:space="preserve"> ass</w:t>
      </w:r>
      <w:r w:rsidR="00153029">
        <w:t>essment experience might find it</w:t>
      </w:r>
      <w:r>
        <w:t xml:space="preserve"> most useful to start at step one</w:t>
      </w:r>
      <w:r w:rsidR="00F01BCA">
        <w:t xml:space="preserve"> and work out an assessment plan by moving sequentially</w:t>
      </w:r>
      <w:r>
        <w:t xml:space="preserve">. Those with previous assessment </w:t>
      </w:r>
      <w:r w:rsidR="00F01BCA">
        <w:t>experience</w:t>
      </w:r>
      <w:r>
        <w:t xml:space="preserve"> might think about which areas could </w:t>
      </w:r>
      <w:r w:rsidR="00153029">
        <w:t xml:space="preserve">be </w:t>
      </w:r>
      <w:r>
        <w:t>most profitably improved</w:t>
      </w:r>
      <w:r w:rsidR="00F01BCA">
        <w:t>, find the related step,</w:t>
      </w:r>
      <w:r>
        <w:t xml:space="preserve"> and take that as their point of engagement.</w:t>
      </w:r>
    </w:p>
    <w:tbl>
      <w:tblPr>
        <w:tblStyle w:val="TableGrid"/>
        <w:tblpPr w:leftFromText="180" w:rightFromText="180" w:vertAnchor="text" w:horzAnchor="margin" w:tblpY="211"/>
        <w:tblW w:w="9715" w:type="dxa"/>
        <w:tblLook w:val="04A0" w:firstRow="1" w:lastRow="0" w:firstColumn="1" w:lastColumn="0" w:noHBand="0" w:noVBand="1"/>
      </w:tblPr>
      <w:tblGrid>
        <w:gridCol w:w="3116"/>
        <w:gridCol w:w="6599"/>
      </w:tblGrid>
      <w:tr w:rsidR="00F5676A" w:rsidTr="00F5676A">
        <w:tc>
          <w:tcPr>
            <w:tcW w:w="3116" w:type="dxa"/>
            <w:shd w:val="clear" w:color="auto" w:fill="AEAAAA" w:themeFill="background2" w:themeFillShade="BF"/>
          </w:tcPr>
          <w:p w:rsidR="00F5676A" w:rsidRPr="00B6671A" w:rsidRDefault="004338C9" w:rsidP="004338C9">
            <w:pPr>
              <w:tabs>
                <w:tab w:val="left" w:pos="1956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6599" w:type="dxa"/>
          </w:tcPr>
          <w:p w:rsidR="00F5676A" w:rsidRPr="00B6671A" w:rsidRDefault="00F5676A" w:rsidP="00F5676A">
            <w:pPr>
              <w:jc w:val="center"/>
              <w:rPr>
                <w:b/>
              </w:rPr>
            </w:pPr>
            <w:r>
              <w:rPr>
                <w:b/>
              </w:rPr>
              <w:t>Central Question</w:t>
            </w:r>
          </w:p>
        </w:tc>
      </w:tr>
      <w:tr w:rsidR="00F5676A" w:rsidTr="00B32DDF">
        <w:trPr>
          <w:trHeight w:val="524"/>
        </w:trPr>
        <w:tc>
          <w:tcPr>
            <w:tcW w:w="3116" w:type="dxa"/>
            <w:shd w:val="clear" w:color="auto" w:fill="AEAAAA" w:themeFill="background2" w:themeFillShade="BF"/>
            <w:vAlign w:val="center"/>
          </w:tcPr>
          <w:p w:rsidR="00F5676A" w:rsidRPr="00FF6229" w:rsidRDefault="00F5676A" w:rsidP="00F5676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Step 1) Identify o</w:t>
            </w:r>
            <w:r w:rsidRPr="00FF6229">
              <w:rPr>
                <w:b/>
                <w:color w:val="FFFFFF" w:themeColor="background1"/>
              </w:rPr>
              <w:t>utcomes</w:t>
            </w:r>
          </w:p>
        </w:tc>
        <w:tc>
          <w:tcPr>
            <w:tcW w:w="6599" w:type="dxa"/>
            <w:vAlign w:val="center"/>
          </w:tcPr>
          <w:p w:rsidR="00B32DDF" w:rsidRDefault="00F5676A" w:rsidP="00B32DDF">
            <w:r>
              <w:t>Do you have clear outcomes for what students will learn?</w:t>
            </w:r>
          </w:p>
        </w:tc>
      </w:tr>
      <w:tr w:rsidR="00F5676A" w:rsidTr="00F5676A">
        <w:tc>
          <w:tcPr>
            <w:tcW w:w="3116" w:type="dxa"/>
            <w:shd w:val="clear" w:color="auto" w:fill="AEAAAA" w:themeFill="background2" w:themeFillShade="BF"/>
            <w:vAlign w:val="center"/>
          </w:tcPr>
          <w:p w:rsidR="00F5676A" w:rsidRPr="00FF6229" w:rsidRDefault="00F5676A" w:rsidP="00F5676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Step 2) Provide learning o</w:t>
            </w:r>
            <w:r w:rsidRPr="00FF6229">
              <w:rPr>
                <w:b/>
                <w:color w:val="FFFFFF" w:themeColor="background1"/>
              </w:rPr>
              <w:t>pportunities</w:t>
            </w:r>
          </w:p>
        </w:tc>
        <w:tc>
          <w:tcPr>
            <w:tcW w:w="6599" w:type="dxa"/>
            <w:vAlign w:val="center"/>
          </w:tcPr>
          <w:p w:rsidR="00F5676A" w:rsidRDefault="00F5676A" w:rsidP="00F5676A">
            <w:r>
              <w:t>Have you planned learning opportunities that are aligned with your outcomes?</w:t>
            </w:r>
          </w:p>
        </w:tc>
      </w:tr>
      <w:tr w:rsidR="00F5676A" w:rsidTr="00F5676A">
        <w:tc>
          <w:tcPr>
            <w:tcW w:w="3116" w:type="dxa"/>
            <w:shd w:val="clear" w:color="auto" w:fill="AEAAAA" w:themeFill="background2" w:themeFillShade="BF"/>
            <w:vAlign w:val="center"/>
          </w:tcPr>
          <w:p w:rsidR="00F5676A" w:rsidRPr="00FF6229" w:rsidRDefault="00F5676A" w:rsidP="00F5676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Step 3) </w:t>
            </w:r>
            <w:r w:rsidRPr="00FF6229">
              <w:rPr>
                <w:b/>
                <w:color w:val="FFFFFF" w:themeColor="background1"/>
              </w:rPr>
              <w:t>Gather evidence</w:t>
            </w:r>
          </w:p>
        </w:tc>
        <w:tc>
          <w:tcPr>
            <w:tcW w:w="6599" w:type="dxa"/>
            <w:vAlign w:val="center"/>
          </w:tcPr>
          <w:p w:rsidR="00F5676A" w:rsidRDefault="00F5676A" w:rsidP="00B32DDF">
            <w:r>
              <w:t>Do you know what kind of ev</w:t>
            </w:r>
            <w:r w:rsidR="00B32DDF">
              <w:t>idence of student learning you will</w:t>
            </w:r>
            <w:r>
              <w:t xml:space="preserve"> gather?</w:t>
            </w:r>
          </w:p>
        </w:tc>
      </w:tr>
      <w:tr w:rsidR="00F5676A" w:rsidTr="00F5676A">
        <w:tc>
          <w:tcPr>
            <w:tcW w:w="3116" w:type="dxa"/>
            <w:shd w:val="clear" w:color="auto" w:fill="AEAAAA" w:themeFill="background2" w:themeFillShade="BF"/>
            <w:vAlign w:val="center"/>
          </w:tcPr>
          <w:p w:rsidR="00F5676A" w:rsidRPr="00FF6229" w:rsidRDefault="00F5676A" w:rsidP="00F5676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Step 4) </w:t>
            </w:r>
            <w:r w:rsidRPr="00FF6229">
              <w:rPr>
                <w:b/>
                <w:color w:val="FFFFFF" w:themeColor="background1"/>
              </w:rPr>
              <w:t>Analyze evidence</w:t>
            </w:r>
          </w:p>
        </w:tc>
        <w:tc>
          <w:tcPr>
            <w:tcW w:w="6599" w:type="dxa"/>
            <w:vAlign w:val="center"/>
          </w:tcPr>
          <w:p w:rsidR="00F5676A" w:rsidRDefault="00F5676A" w:rsidP="00F5676A">
            <w:r>
              <w:t>Do you how you will analyze the evidence that you will gather?</w:t>
            </w:r>
          </w:p>
          <w:p w:rsidR="00F5676A" w:rsidRDefault="00F5676A" w:rsidP="00F5676A"/>
        </w:tc>
      </w:tr>
      <w:tr w:rsidR="00F5676A" w:rsidTr="00F5676A">
        <w:tc>
          <w:tcPr>
            <w:tcW w:w="3116" w:type="dxa"/>
            <w:shd w:val="clear" w:color="auto" w:fill="AEAAAA" w:themeFill="background2" w:themeFillShade="BF"/>
            <w:vAlign w:val="center"/>
          </w:tcPr>
          <w:p w:rsidR="00F5676A" w:rsidRPr="00FF6229" w:rsidRDefault="00F5676A" w:rsidP="00F5676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Step 5) </w:t>
            </w:r>
            <w:r w:rsidRPr="00FF6229">
              <w:rPr>
                <w:b/>
                <w:color w:val="FFFFFF" w:themeColor="background1"/>
              </w:rPr>
              <w:t>Share results</w:t>
            </w:r>
          </w:p>
          <w:p w:rsidR="00F5676A" w:rsidRPr="00FF6229" w:rsidRDefault="00F5676A" w:rsidP="00F5676A">
            <w:pPr>
              <w:rPr>
                <w:b/>
                <w:color w:val="FFFFFF" w:themeColor="background1"/>
              </w:rPr>
            </w:pPr>
          </w:p>
        </w:tc>
        <w:tc>
          <w:tcPr>
            <w:tcW w:w="6599" w:type="dxa"/>
            <w:vAlign w:val="center"/>
          </w:tcPr>
          <w:p w:rsidR="00F5676A" w:rsidRDefault="00F5676A" w:rsidP="00F5676A">
            <w:r>
              <w:t>Do you know how you are going to document and share what you find?</w:t>
            </w:r>
          </w:p>
        </w:tc>
      </w:tr>
      <w:tr w:rsidR="00F5676A" w:rsidTr="00F5676A">
        <w:tc>
          <w:tcPr>
            <w:tcW w:w="3116" w:type="dxa"/>
            <w:shd w:val="clear" w:color="auto" w:fill="AEAAAA" w:themeFill="background2" w:themeFillShade="BF"/>
            <w:vAlign w:val="center"/>
          </w:tcPr>
          <w:p w:rsidR="00F5676A" w:rsidRPr="00FF6229" w:rsidRDefault="00F5676A" w:rsidP="00F5676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Step 6) </w:t>
            </w:r>
            <w:r w:rsidRPr="00FF6229">
              <w:rPr>
                <w:b/>
                <w:color w:val="FFFFFF" w:themeColor="background1"/>
              </w:rPr>
              <w:t>Use what you have learned</w:t>
            </w:r>
          </w:p>
        </w:tc>
        <w:tc>
          <w:tcPr>
            <w:tcW w:w="6599" w:type="dxa"/>
            <w:vAlign w:val="center"/>
          </w:tcPr>
          <w:p w:rsidR="00F5676A" w:rsidRDefault="00F5676A" w:rsidP="00B32DDF">
            <w:r>
              <w:t xml:space="preserve">Do know what you </w:t>
            </w:r>
            <w:r w:rsidR="00B32DDF">
              <w:t>could</w:t>
            </w:r>
            <w:r>
              <w:t xml:space="preserve"> do with what you learn from assessment?</w:t>
            </w:r>
          </w:p>
        </w:tc>
      </w:tr>
    </w:tbl>
    <w:p w:rsidR="00B6671A" w:rsidRDefault="00B6671A"/>
    <w:p w:rsidR="00F5676A" w:rsidRDefault="00F5676A" w:rsidP="00B6671A">
      <w:pPr>
        <w:rPr>
          <w:b/>
        </w:rPr>
      </w:pPr>
    </w:p>
    <w:p w:rsidR="00F5676A" w:rsidRDefault="00B6671A" w:rsidP="00B6671A">
      <w:pPr>
        <w:rPr>
          <w:b/>
        </w:rPr>
      </w:pPr>
      <w:r>
        <w:rPr>
          <w:b/>
        </w:rPr>
        <w:t>Step 1)</w:t>
      </w:r>
      <w:r w:rsidR="00153029">
        <w:rPr>
          <w:b/>
        </w:rPr>
        <w:t xml:space="preserve"> Identify Outcomes  </w:t>
      </w:r>
      <w:r w:rsidR="00DD2C5C">
        <w:rPr>
          <w:b/>
        </w:rPr>
        <w:tab/>
      </w:r>
      <w:r w:rsidR="00DD2C5C">
        <w:rPr>
          <w:b/>
        </w:rPr>
        <w:tab/>
      </w:r>
      <w:r w:rsidR="00DD2C5C">
        <w:rPr>
          <w:b/>
        </w:rPr>
        <w:tab/>
      </w:r>
      <w:r w:rsidR="00F5676A">
        <w:t>For the purpose of assessing student learning</w:t>
      </w:r>
      <w:r w:rsidR="00AA4F4E">
        <w:t>,</w:t>
      </w:r>
      <w:r w:rsidR="00F5676A">
        <w:t xml:space="preserve"> we can think of </w:t>
      </w:r>
      <w:r w:rsidR="00F5676A" w:rsidRPr="00FA59DA">
        <w:rPr>
          <w:u w:val="single"/>
        </w:rPr>
        <w:t xml:space="preserve">learning </w:t>
      </w:r>
      <w:r w:rsidR="00F5676A" w:rsidRPr="00A27195">
        <w:rPr>
          <w:u w:val="single"/>
        </w:rPr>
        <w:t>goals</w:t>
      </w:r>
      <w:r w:rsidR="00F5676A">
        <w:t xml:space="preserve"> as what students should know and be able to do in broad terms. </w:t>
      </w:r>
      <w:r w:rsidR="00F5676A" w:rsidRPr="00CD14F4">
        <w:rPr>
          <w:u w:val="single"/>
        </w:rPr>
        <w:t>Student learning outcomes</w:t>
      </w:r>
      <w:r w:rsidR="00F5676A" w:rsidRPr="00992EE6">
        <w:t xml:space="preserve"> </w:t>
      </w:r>
      <w:r w:rsidR="00F5676A">
        <w:t xml:space="preserve">are more specific formulations of the </w:t>
      </w:r>
      <w:r w:rsidR="00F5676A" w:rsidRPr="00CD14F4">
        <w:t>knowledge</w:t>
      </w:r>
      <w:r w:rsidR="00F5676A">
        <w:t xml:space="preserve">, </w:t>
      </w:r>
      <w:r w:rsidR="00F5676A" w:rsidRPr="00CD14F4">
        <w:t>skills</w:t>
      </w:r>
      <w:r w:rsidR="00F5676A">
        <w:t xml:space="preserve"> or </w:t>
      </w:r>
      <w:r w:rsidR="00F5676A" w:rsidRPr="00CD14F4">
        <w:t>attitudes</w:t>
      </w:r>
      <w:r w:rsidR="00F5676A">
        <w:t xml:space="preserve"> that we will see in students who have had successful learning experiences.</w:t>
      </w:r>
    </w:p>
    <w:p w:rsidR="00B6671A" w:rsidRDefault="00B6671A" w:rsidP="00B6671A">
      <w:r>
        <w:t xml:space="preserve">Well-crafted outcomes </w:t>
      </w:r>
      <w:r w:rsidR="00FF1A7B">
        <w:t>generally</w:t>
      </w:r>
      <w:r>
        <w:t xml:space="preserve"> have an action verb and these kinds of verbs are often or</w:t>
      </w:r>
      <w:r w:rsidR="00462E74">
        <w:t xml:space="preserve">ganized using Bloom’s Taxonomy (see </w:t>
      </w:r>
      <w:hyperlink r:id="rId6" w:history="1">
        <w:r w:rsidR="00462E74" w:rsidRPr="007237A3">
          <w:rPr>
            <w:rStyle w:val="Hyperlink"/>
          </w:rPr>
          <w:t>https://cft.vanderbilt.edu/guides-sub-pages/blooms-taxonomy/</w:t>
        </w:r>
      </w:hyperlink>
      <w:r w:rsidR="00462E74">
        <w:t xml:space="preserve"> for more context</w:t>
      </w:r>
      <w:r w:rsidR="00B32DDF">
        <w:t>)</w:t>
      </w:r>
      <w:r w:rsidR="00FF1A7B">
        <w:t>.</w:t>
      </w:r>
    </w:p>
    <w:tbl>
      <w:tblPr>
        <w:tblW w:w="431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443"/>
        <w:gridCol w:w="1332"/>
        <w:gridCol w:w="1331"/>
        <w:gridCol w:w="1331"/>
        <w:gridCol w:w="1326"/>
      </w:tblGrid>
      <w:tr w:rsidR="00B32DDF" w:rsidRPr="00E401CC" w:rsidTr="00B32DDF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DDF" w:rsidRPr="00153029" w:rsidRDefault="00B32DDF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</w:rPr>
              <w:t>Bloom’s Categories of Learning, indicating deeper learn</w:t>
            </w:r>
            <w:r w:rsidR="00FF1A7B">
              <w:rPr>
                <w:rFonts w:asciiTheme="majorHAnsi" w:eastAsia="Times New Roman" w:hAnsiTheme="majorHAnsi" w:cs="Times New Roman"/>
                <w:b/>
                <w:bCs/>
              </w:rPr>
              <w:t>ing</w:t>
            </w:r>
            <w:r>
              <w:rPr>
                <w:rFonts w:asciiTheme="majorHAnsi" w:eastAsia="Times New Roman" w:hAnsiTheme="majorHAnsi" w:cs="Times New Roman"/>
                <w:b/>
                <w:bCs/>
              </w:rPr>
              <w:t xml:space="preserve"> moving from left to right</w:t>
            </w:r>
          </w:p>
        </w:tc>
      </w:tr>
      <w:tr w:rsidR="00B6671A" w:rsidRPr="00E401CC" w:rsidTr="003B7F26">
        <w:trPr>
          <w:tblCellSpacing w:w="0" w:type="dxa"/>
          <w:jc w:val="center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  <w:b/>
                <w:bCs/>
              </w:rPr>
              <w:t>Knowledge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  <w:b/>
                <w:bCs/>
              </w:rPr>
              <w:t>Comprehension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  <w:b/>
                <w:bCs/>
              </w:rPr>
              <w:t>Application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  <w:b/>
                <w:bCs/>
              </w:rPr>
              <w:t>Analysis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  <w:b/>
                <w:bCs/>
              </w:rPr>
              <w:t>Synthesis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  <w:b/>
                <w:bCs/>
              </w:rPr>
              <w:t>Evaluation</w:t>
            </w:r>
          </w:p>
        </w:tc>
      </w:tr>
      <w:tr w:rsidR="00B6671A" w:rsidRPr="00E401CC" w:rsidTr="003B7F26">
        <w:trPr>
          <w:tblCellSpacing w:w="0" w:type="dxa"/>
          <w:jc w:val="center"/>
        </w:trPr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define</w:t>
            </w:r>
          </w:p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identify</w:t>
            </w:r>
          </w:p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name</w:t>
            </w:r>
          </w:p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select</w:t>
            </w:r>
          </w:p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state</w:t>
            </w:r>
          </w:p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recall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translate</w:t>
            </w:r>
          </w:p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complete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describe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discuss</w:t>
            </w:r>
          </w:p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summarize</w:t>
            </w:r>
          </w:p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illustrate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locate</w:t>
            </w:r>
          </w:p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explain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order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apply</w:t>
            </w:r>
          </w:p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calculate</w:t>
            </w:r>
          </w:p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demonstrate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interpret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operate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perform</w:t>
            </w:r>
          </w:p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solve</w:t>
            </w:r>
          </w:p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use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analyze</w:t>
            </w:r>
          </w:p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breakdown</w:t>
            </w:r>
          </w:p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compare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contrast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examine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explore</w:t>
            </w:r>
          </w:p>
          <w:p w:rsidR="00B32DDF" w:rsidRDefault="00B6671A" w:rsidP="00B32DD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question</w:t>
            </w:r>
          </w:p>
          <w:p w:rsidR="00B6671A" w:rsidRPr="00153029" w:rsidRDefault="00B32DDF" w:rsidP="00B32DD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outline</w:t>
            </w:r>
            <w:r w:rsidR="00B6671A" w:rsidRPr="00153029">
              <w:rPr>
                <w:rFonts w:asciiTheme="majorHAnsi" w:eastAsia="Times New Roman" w:hAnsiTheme="majorHAnsi" w:cs="Times New Roman"/>
              </w:rPr>
              <w:br/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71A" w:rsidRPr="00153029" w:rsidRDefault="00B6671A" w:rsidP="00462E7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combine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compose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consolidate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construct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create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design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formulate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hypothesize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integrate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71A" w:rsidRPr="00153029" w:rsidRDefault="00B6671A" w:rsidP="003B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153029">
              <w:rPr>
                <w:rFonts w:asciiTheme="majorHAnsi" w:eastAsia="Times New Roman" w:hAnsiTheme="majorHAnsi" w:cs="Times New Roman"/>
              </w:rPr>
              <w:t>appraise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argue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assess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critique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defend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evaluate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judge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justify</w:t>
            </w:r>
            <w:r w:rsidRPr="00153029">
              <w:rPr>
                <w:rFonts w:asciiTheme="majorHAnsi" w:eastAsia="Times New Roman" w:hAnsiTheme="majorHAnsi" w:cs="Times New Roman"/>
              </w:rPr>
              <w:br/>
              <w:t>rate</w:t>
            </w:r>
          </w:p>
        </w:tc>
      </w:tr>
    </w:tbl>
    <w:p w:rsidR="00B6671A" w:rsidRDefault="00B6671A"/>
    <w:p w:rsidR="002D3E61" w:rsidRDefault="00B6671A" w:rsidP="00B6671A">
      <w:r>
        <w:rPr>
          <w:b/>
        </w:rPr>
        <w:t>Step 2)</w:t>
      </w:r>
      <w:r w:rsidR="00F01BCA">
        <w:rPr>
          <w:b/>
        </w:rPr>
        <w:t xml:space="preserve"> Provide Learning Opportunities</w:t>
      </w:r>
      <w:r w:rsidR="00F01BCA">
        <w:rPr>
          <w:b/>
        </w:rPr>
        <w:tab/>
      </w:r>
      <w:r>
        <w:rPr>
          <w:b/>
        </w:rPr>
        <w:t xml:space="preserve"> </w:t>
      </w:r>
      <w:r w:rsidR="00DD2C5C">
        <w:rPr>
          <w:b/>
        </w:rPr>
        <w:tab/>
      </w:r>
      <w:r w:rsidR="00F5676A">
        <w:t>When</w:t>
      </w:r>
      <w:r w:rsidR="002D3E61">
        <w:t xml:space="preserve"> assessment clearly links to a learning outcome</w:t>
      </w:r>
      <w:r w:rsidR="00B32DDF">
        <w:t xml:space="preserve"> </w:t>
      </w:r>
      <w:r w:rsidR="002D3E61">
        <w:t xml:space="preserve">and includes plans to gather </w:t>
      </w:r>
      <w:r w:rsidR="00F5676A">
        <w:t xml:space="preserve">relevant </w:t>
      </w:r>
      <w:r w:rsidR="002D3E61">
        <w:t>evidence we can talk about</w:t>
      </w:r>
      <w:r w:rsidR="00B32DDF">
        <w:t xml:space="preserve"> good</w:t>
      </w:r>
      <w:r w:rsidR="002D3E61">
        <w:t xml:space="preserve"> </w:t>
      </w:r>
      <w:r w:rsidR="002D3E61" w:rsidRPr="00F5676A">
        <w:rPr>
          <w:u w:val="single"/>
        </w:rPr>
        <w:t>alignment</w:t>
      </w:r>
      <w:r w:rsidR="00B32DDF">
        <w:t xml:space="preserve"> between learning opportunities and assessment plans</w:t>
      </w:r>
      <w:r w:rsidR="002D3E61">
        <w:t xml:space="preserve">. To the extent one or more of these elements is missing alignment is weaker. </w:t>
      </w:r>
    </w:p>
    <w:p w:rsidR="00F5676A" w:rsidRDefault="00B6671A" w:rsidP="00B6671A">
      <w:r w:rsidRPr="00F5676A">
        <w:rPr>
          <w:u w:val="single"/>
        </w:rPr>
        <w:t>Mapping</w:t>
      </w:r>
      <w:r>
        <w:t xml:space="preserve"> is </w:t>
      </w:r>
      <w:r w:rsidR="002D3E61">
        <w:t>one</w:t>
      </w:r>
      <w:r>
        <w:t xml:space="preserve"> strategy to plan or describe the alignment between outcomes and learning opportun</w:t>
      </w:r>
      <w:r w:rsidR="00153029">
        <w:t xml:space="preserve">ities. Mapping can be a forward-looking planning strategy, </w:t>
      </w:r>
      <w:r>
        <w:t>or can be a way to describe and document what is already happening. In eit</w:t>
      </w:r>
      <w:r w:rsidR="002D3E61">
        <w:t xml:space="preserve">her event, mapping helps </w:t>
      </w:r>
      <w:r w:rsidR="00153029">
        <w:t xml:space="preserve">to </w:t>
      </w:r>
      <w:r w:rsidR="002D3E61">
        <w:t>focus</w:t>
      </w:r>
      <w:r>
        <w:t xml:space="preserve"> on </w:t>
      </w:r>
      <w:r w:rsidR="00F5676A">
        <w:t>the link between teaching activities and</w:t>
      </w:r>
      <w:r>
        <w:t xml:space="preserve"> intended outcomes.</w:t>
      </w:r>
      <w:r w:rsidRPr="00C1731A">
        <w:t xml:space="preserve"> </w:t>
      </w:r>
    </w:p>
    <w:p w:rsidR="00153029" w:rsidRDefault="00153029" w:rsidP="00153029">
      <w:r>
        <w:t>Maps are most often set up as a grid with learning opportunities (courses at the program level; class meetings at the course level) running down the left and the various outcomes listed across the top.</w:t>
      </w:r>
      <w:r w:rsidRPr="00C1731A">
        <w:t xml:space="preserve"> </w:t>
      </w:r>
      <w:r>
        <w:t>If the given learning opportunity aligns with an outcome this is indicated at the intersection of the row and column for that opportunity and outcome. The table below provides an example.</w:t>
      </w:r>
    </w:p>
    <w:tbl>
      <w:tblPr>
        <w:tblStyle w:val="TableGrid"/>
        <w:tblpPr w:leftFromText="180" w:rightFromText="180" w:vertAnchor="page" w:horzAnchor="margin" w:tblpY="6001"/>
        <w:tblW w:w="0" w:type="auto"/>
        <w:tblLook w:val="04A0" w:firstRow="1" w:lastRow="0" w:firstColumn="1" w:lastColumn="0" w:noHBand="0" w:noVBand="1"/>
      </w:tblPr>
      <w:tblGrid>
        <w:gridCol w:w="1566"/>
        <w:gridCol w:w="1556"/>
        <w:gridCol w:w="1557"/>
        <w:gridCol w:w="1557"/>
        <w:gridCol w:w="1557"/>
        <w:gridCol w:w="1557"/>
      </w:tblGrid>
      <w:tr w:rsidR="00153029" w:rsidTr="00153029">
        <w:tc>
          <w:tcPr>
            <w:tcW w:w="1566" w:type="dxa"/>
          </w:tcPr>
          <w:p w:rsidR="00153029" w:rsidRDefault="00153029" w:rsidP="00153029"/>
        </w:tc>
        <w:tc>
          <w:tcPr>
            <w:tcW w:w="1556" w:type="dxa"/>
          </w:tcPr>
          <w:p w:rsidR="00153029" w:rsidRDefault="00153029" w:rsidP="00153029">
            <w:pPr>
              <w:jc w:val="center"/>
            </w:pPr>
            <w:r>
              <w:t>Outcome  1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Outcome  2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Outcome 3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Outcome  4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Outcome  5</w:t>
            </w:r>
          </w:p>
        </w:tc>
      </w:tr>
      <w:tr w:rsidR="00153029" w:rsidTr="00153029">
        <w:tc>
          <w:tcPr>
            <w:tcW w:w="1566" w:type="dxa"/>
          </w:tcPr>
          <w:p w:rsidR="00153029" w:rsidRDefault="00153029" w:rsidP="00153029">
            <w:r>
              <w:t>Course 001</w:t>
            </w:r>
          </w:p>
        </w:tc>
        <w:tc>
          <w:tcPr>
            <w:tcW w:w="1556" w:type="dxa"/>
          </w:tcPr>
          <w:p w:rsidR="00153029" w:rsidRDefault="00153029" w:rsidP="00153029">
            <w:pPr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</w:tr>
      <w:tr w:rsidR="00153029" w:rsidTr="00153029">
        <w:tc>
          <w:tcPr>
            <w:tcW w:w="1566" w:type="dxa"/>
          </w:tcPr>
          <w:p w:rsidR="00153029" w:rsidRDefault="00153029" w:rsidP="00153029">
            <w:r>
              <w:t>Course 005</w:t>
            </w:r>
          </w:p>
        </w:tc>
        <w:tc>
          <w:tcPr>
            <w:tcW w:w="1556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</w:tr>
      <w:tr w:rsidR="00153029" w:rsidTr="00153029">
        <w:tc>
          <w:tcPr>
            <w:tcW w:w="1566" w:type="dxa"/>
          </w:tcPr>
          <w:p w:rsidR="00153029" w:rsidRDefault="00153029" w:rsidP="00153029">
            <w:r>
              <w:t>Course 010</w:t>
            </w:r>
          </w:p>
        </w:tc>
        <w:tc>
          <w:tcPr>
            <w:tcW w:w="1556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</w:tr>
      <w:tr w:rsidR="00153029" w:rsidTr="00153029">
        <w:tc>
          <w:tcPr>
            <w:tcW w:w="1566" w:type="dxa"/>
          </w:tcPr>
          <w:p w:rsidR="00153029" w:rsidRDefault="00153029" w:rsidP="00153029">
            <w:r>
              <w:t>Course 020</w:t>
            </w:r>
          </w:p>
        </w:tc>
        <w:tc>
          <w:tcPr>
            <w:tcW w:w="1556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</w:tr>
      <w:tr w:rsidR="00153029" w:rsidTr="00153029">
        <w:tc>
          <w:tcPr>
            <w:tcW w:w="1566" w:type="dxa"/>
          </w:tcPr>
          <w:p w:rsidR="00153029" w:rsidRDefault="00153029" w:rsidP="00153029">
            <w:r>
              <w:t>Course 100</w:t>
            </w:r>
          </w:p>
        </w:tc>
        <w:tc>
          <w:tcPr>
            <w:tcW w:w="1556" w:type="dxa"/>
          </w:tcPr>
          <w:p w:rsidR="00153029" w:rsidRDefault="00153029" w:rsidP="00153029">
            <w:pPr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</w:tr>
      <w:tr w:rsidR="00153029" w:rsidTr="00153029">
        <w:tc>
          <w:tcPr>
            <w:tcW w:w="1566" w:type="dxa"/>
          </w:tcPr>
          <w:p w:rsidR="00153029" w:rsidRDefault="00153029" w:rsidP="00153029">
            <w:r>
              <w:t>Course 110</w:t>
            </w:r>
          </w:p>
        </w:tc>
        <w:tc>
          <w:tcPr>
            <w:tcW w:w="1556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</w:tr>
      <w:tr w:rsidR="00153029" w:rsidTr="00153029">
        <w:tc>
          <w:tcPr>
            <w:tcW w:w="1566" w:type="dxa"/>
          </w:tcPr>
          <w:p w:rsidR="00153029" w:rsidRDefault="00153029" w:rsidP="00153029">
            <w:r>
              <w:t>Course 130</w:t>
            </w:r>
          </w:p>
        </w:tc>
        <w:tc>
          <w:tcPr>
            <w:tcW w:w="1556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</w:tr>
      <w:tr w:rsidR="00153029" w:rsidTr="00153029">
        <w:tc>
          <w:tcPr>
            <w:tcW w:w="1566" w:type="dxa"/>
          </w:tcPr>
          <w:p w:rsidR="00153029" w:rsidRDefault="00153029" w:rsidP="00153029">
            <w:r>
              <w:t>Course 150</w:t>
            </w:r>
          </w:p>
        </w:tc>
        <w:tc>
          <w:tcPr>
            <w:tcW w:w="1556" w:type="dxa"/>
          </w:tcPr>
          <w:p w:rsidR="00153029" w:rsidRDefault="00153029" w:rsidP="00153029">
            <w:pPr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X</w:t>
            </w:r>
          </w:p>
        </w:tc>
      </w:tr>
      <w:tr w:rsidR="00153029" w:rsidTr="00153029">
        <w:tc>
          <w:tcPr>
            <w:tcW w:w="1566" w:type="dxa"/>
          </w:tcPr>
          <w:p w:rsidR="00153029" w:rsidRDefault="00153029" w:rsidP="00153029">
            <w:r>
              <w:t>Course 160</w:t>
            </w:r>
          </w:p>
        </w:tc>
        <w:tc>
          <w:tcPr>
            <w:tcW w:w="1556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X</w:t>
            </w:r>
          </w:p>
        </w:tc>
      </w:tr>
      <w:tr w:rsidR="00153029" w:rsidTr="00153029">
        <w:tc>
          <w:tcPr>
            <w:tcW w:w="1566" w:type="dxa"/>
          </w:tcPr>
          <w:p w:rsidR="00153029" w:rsidRDefault="00153029" w:rsidP="00153029">
            <w:r>
              <w:t>Course 190</w:t>
            </w:r>
          </w:p>
        </w:tc>
        <w:tc>
          <w:tcPr>
            <w:tcW w:w="1556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</w:p>
        </w:tc>
        <w:tc>
          <w:tcPr>
            <w:tcW w:w="1557" w:type="dxa"/>
          </w:tcPr>
          <w:p w:rsidR="00153029" w:rsidRDefault="00153029" w:rsidP="00153029">
            <w:pPr>
              <w:jc w:val="center"/>
            </w:pPr>
            <w:r>
              <w:t>X</w:t>
            </w:r>
          </w:p>
        </w:tc>
      </w:tr>
    </w:tbl>
    <w:p w:rsidR="00F01BCA" w:rsidRDefault="00F01BCA" w:rsidP="00B6671A"/>
    <w:p w:rsidR="00F71A2E" w:rsidRDefault="00F71A2E" w:rsidP="00B6671A">
      <w:r>
        <w:t>You can also think about alignment between your learning outcome and the assignments you give students</w:t>
      </w:r>
      <w:r w:rsidR="00AA4F4E">
        <w:t xml:space="preserve"> as well</w:t>
      </w:r>
      <w:r>
        <w:t>. Well aligned assignment</w:t>
      </w:r>
      <w:r w:rsidR="00FF1A7B">
        <w:t>s</w:t>
      </w:r>
      <w:r>
        <w:t xml:space="preserve"> clearly link to particular outcomes, making it easier for students to focus on what they should be learning and allowing </w:t>
      </w:r>
      <w:r w:rsidR="00F5676A">
        <w:t>instructors</w:t>
      </w:r>
      <w:r>
        <w:t xml:space="preserve"> to gather evidence with strong links to the outcome you will be assessing. </w:t>
      </w:r>
    </w:p>
    <w:p w:rsidR="00F71A2E" w:rsidRDefault="00F71A2E">
      <w:pPr>
        <w:rPr>
          <w:b/>
        </w:rPr>
      </w:pPr>
    </w:p>
    <w:p w:rsidR="00F71A2E" w:rsidRDefault="00B6671A">
      <w:r>
        <w:rPr>
          <w:b/>
        </w:rPr>
        <w:t>Step 3)</w:t>
      </w:r>
      <w:r w:rsidR="00F01BCA">
        <w:rPr>
          <w:b/>
        </w:rPr>
        <w:t xml:space="preserve"> Gather Evidence </w:t>
      </w:r>
      <w:r w:rsidR="00153029">
        <w:rPr>
          <w:b/>
        </w:rPr>
        <w:t xml:space="preserve"> </w:t>
      </w:r>
      <w:r w:rsidR="00DD2C5C">
        <w:rPr>
          <w:b/>
        </w:rPr>
        <w:tab/>
      </w:r>
      <w:r w:rsidR="00DD2C5C">
        <w:rPr>
          <w:b/>
        </w:rPr>
        <w:tab/>
      </w:r>
      <w:r w:rsidR="00DD2C5C">
        <w:rPr>
          <w:b/>
        </w:rPr>
        <w:tab/>
      </w:r>
      <w:r>
        <w:t>Below</w:t>
      </w:r>
      <w:r w:rsidR="00153029">
        <w:t xml:space="preserve"> is a list of common methods for</w:t>
      </w:r>
      <w:r>
        <w:t xml:space="preserve"> gathering evidence. </w:t>
      </w:r>
      <w:r w:rsidR="002D3E61">
        <w:t xml:space="preserve">The list is not meant to be exhaustive and the advantages and disadvantages are meant to sensitize you to some of the success and problems you may encounter </w:t>
      </w:r>
      <w:r w:rsidR="00153029">
        <w:t xml:space="preserve">while </w:t>
      </w:r>
      <w:r w:rsidR="002D3E61">
        <w:t>using a particular method.</w:t>
      </w:r>
    </w:p>
    <w:p w:rsidR="00F01BCA" w:rsidRPr="00F71A2E" w:rsidRDefault="00AA4F4E">
      <w:r w:rsidRPr="00F5676A">
        <w:rPr>
          <w:u w:val="single"/>
        </w:rPr>
        <w:t>Direct evidence</w:t>
      </w:r>
      <w:r>
        <w:t xml:space="preserve"> is created by students as they demonstrate what they have learned. </w:t>
      </w:r>
      <w:r w:rsidRPr="00153029">
        <w:rPr>
          <w:u w:val="single"/>
        </w:rPr>
        <w:t>Indirect evidence</w:t>
      </w:r>
      <w:r>
        <w:t xml:space="preserve"> is typically created by students telling us what they think they have learned; </w:t>
      </w:r>
      <w:r w:rsidRPr="00153029">
        <w:t>indirect evidence</w:t>
      </w:r>
      <w:r>
        <w:t xml:space="preserve"> can also be things like average grades or graduation rates that point to student success </w:t>
      </w:r>
      <w:r w:rsidR="00B32DDF">
        <w:t>but still don’t tell us what</w:t>
      </w:r>
      <w:r>
        <w:t>, exactly, students learned. Direct evidence is generally more convincing and should be used where possible. Indirect evidence can sometimes offer unique insights and may also be used to supplement direct evidence.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3960"/>
        <w:gridCol w:w="3960"/>
      </w:tblGrid>
      <w:tr w:rsidR="00B6671A" w:rsidTr="00954D39">
        <w:tc>
          <w:tcPr>
            <w:tcW w:w="9355" w:type="dxa"/>
            <w:gridSpan w:val="3"/>
          </w:tcPr>
          <w:p w:rsidR="00B6671A" w:rsidRDefault="00B6671A" w:rsidP="003B7F26">
            <w:pPr>
              <w:jc w:val="center"/>
            </w:pPr>
            <w:r>
              <w:lastRenderedPageBreak/>
              <w:t>Direct Evidence</w:t>
            </w:r>
          </w:p>
        </w:tc>
      </w:tr>
      <w:tr w:rsidR="00B6671A" w:rsidTr="00954D39">
        <w:tc>
          <w:tcPr>
            <w:tcW w:w="1435" w:type="dxa"/>
          </w:tcPr>
          <w:p w:rsidR="00B6671A" w:rsidRDefault="00B6671A" w:rsidP="003B7F26"/>
        </w:tc>
        <w:tc>
          <w:tcPr>
            <w:tcW w:w="3960" w:type="dxa"/>
          </w:tcPr>
          <w:p w:rsidR="00B6671A" w:rsidRDefault="00B6671A" w:rsidP="003B7F26">
            <w:pPr>
              <w:jc w:val="center"/>
            </w:pPr>
            <w:r>
              <w:t>Advantages</w:t>
            </w:r>
          </w:p>
        </w:tc>
        <w:tc>
          <w:tcPr>
            <w:tcW w:w="3960" w:type="dxa"/>
          </w:tcPr>
          <w:p w:rsidR="00B6671A" w:rsidRDefault="00B6671A" w:rsidP="003B7F26">
            <w:pPr>
              <w:jc w:val="center"/>
            </w:pPr>
            <w:r>
              <w:t>Disadvantages</w:t>
            </w:r>
          </w:p>
        </w:tc>
      </w:tr>
      <w:tr w:rsidR="00B6671A" w:rsidTr="00954D39">
        <w:tc>
          <w:tcPr>
            <w:tcW w:w="1435" w:type="dxa"/>
          </w:tcPr>
          <w:p w:rsidR="00B6671A" w:rsidRDefault="00B6671A" w:rsidP="003B7F26">
            <w:r>
              <w:t>Embedded Test Questions</w:t>
            </w:r>
          </w:p>
        </w:tc>
        <w:tc>
          <w:tcPr>
            <w:tcW w:w="3960" w:type="dxa"/>
          </w:tcPr>
          <w:p w:rsidR="00B6671A" w:rsidRDefault="00B6671A" w:rsidP="003B7F26">
            <w:r>
              <w:t>• Easy to integrate into classroom routines</w:t>
            </w:r>
          </w:p>
          <w:p w:rsidR="00B6671A" w:rsidRDefault="00B6671A" w:rsidP="00954D39">
            <w:r>
              <w:t xml:space="preserve">• Can be </w:t>
            </w:r>
            <w:r w:rsidR="00954D39">
              <w:t>easily aligned to</w:t>
            </w:r>
            <w:r>
              <w:t xml:space="preserve"> outcomes</w:t>
            </w:r>
          </w:p>
        </w:tc>
        <w:tc>
          <w:tcPr>
            <w:tcW w:w="3960" w:type="dxa"/>
          </w:tcPr>
          <w:p w:rsidR="00B6671A" w:rsidRDefault="00B6671A" w:rsidP="003B7F26">
            <w:r>
              <w:t>• Comparability compromised unless questions are identical</w:t>
            </w:r>
          </w:p>
          <w:p w:rsidR="00B6671A" w:rsidRDefault="00B6671A" w:rsidP="003B7F26">
            <w:r>
              <w:t>• Traditional exams may be an inauthentic way to assess learning</w:t>
            </w:r>
          </w:p>
        </w:tc>
      </w:tr>
      <w:tr w:rsidR="00B6671A" w:rsidTr="00954D39">
        <w:tc>
          <w:tcPr>
            <w:tcW w:w="1435" w:type="dxa"/>
          </w:tcPr>
          <w:p w:rsidR="00B6671A" w:rsidRDefault="00B6671A" w:rsidP="003B7F26">
            <w:r>
              <w:t>Portfolios</w:t>
            </w:r>
          </w:p>
        </w:tc>
        <w:tc>
          <w:tcPr>
            <w:tcW w:w="3960" w:type="dxa"/>
          </w:tcPr>
          <w:p w:rsidR="00B6671A" w:rsidRDefault="00B6671A" w:rsidP="003B7F26">
            <w:r>
              <w:t>• Portfolios can bring work from across courses together in one place</w:t>
            </w:r>
          </w:p>
          <w:p w:rsidR="00B6671A" w:rsidRDefault="00B6671A" w:rsidP="003B7F26">
            <w:r>
              <w:t>• There are free tools (like Blackboard and Google) for managing portfolios</w:t>
            </w:r>
          </w:p>
          <w:p w:rsidR="00B6671A" w:rsidRDefault="00B32DDF" w:rsidP="003B7F26">
            <w:r>
              <w:t>• Provide a site for</w:t>
            </w:r>
            <w:r w:rsidR="00B6671A">
              <w:t xml:space="preserve"> student reflection and meta-cognition</w:t>
            </w:r>
          </w:p>
        </w:tc>
        <w:tc>
          <w:tcPr>
            <w:tcW w:w="3960" w:type="dxa"/>
          </w:tcPr>
          <w:p w:rsidR="00F71A2E" w:rsidRDefault="00B6671A" w:rsidP="00F71A2E">
            <w:r>
              <w:t>• Identifying and implementing a software package that fits your portfolio project can take time</w:t>
            </w:r>
          </w:p>
          <w:p w:rsidR="00B6671A" w:rsidRDefault="00F71A2E" w:rsidP="00F71A2E">
            <w:r>
              <w:t>• N</w:t>
            </w:r>
            <w:r w:rsidR="00B6671A">
              <w:t xml:space="preserve">ot all portfolio systems are free </w:t>
            </w:r>
          </w:p>
        </w:tc>
      </w:tr>
      <w:tr w:rsidR="00B6671A" w:rsidTr="00954D39">
        <w:tc>
          <w:tcPr>
            <w:tcW w:w="1435" w:type="dxa"/>
          </w:tcPr>
          <w:p w:rsidR="00B6671A" w:rsidRDefault="00B6671A" w:rsidP="003B7F26">
            <w:r>
              <w:t>Capstone or Signature Assignments</w:t>
            </w:r>
          </w:p>
        </w:tc>
        <w:tc>
          <w:tcPr>
            <w:tcW w:w="3960" w:type="dxa"/>
          </w:tcPr>
          <w:p w:rsidR="00B6671A" w:rsidRDefault="00B6671A" w:rsidP="003B7F26">
            <w:r>
              <w:t>• Can be an effective place to assess more than one outcome</w:t>
            </w:r>
          </w:p>
          <w:p w:rsidR="00B6671A" w:rsidRDefault="00B6671A" w:rsidP="003B7F26">
            <w:r>
              <w:t>• May be a good site to assess what has been learned over a student</w:t>
            </w:r>
            <w:r w:rsidR="00F71A2E">
              <w:t>’s</w:t>
            </w:r>
            <w:r>
              <w:t xml:space="preserve"> career </w:t>
            </w:r>
          </w:p>
        </w:tc>
        <w:tc>
          <w:tcPr>
            <w:tcW w:w="3960" w:type="dxa"/>
          </w:tcPr>
          <w:p w:rsidR="00B6671A" w:rsidRDefault="00B6671A" w:rsidP="003B7F26">
            <w:r>
              <w:t>• Guiding students through capstone assignments, and assessing them, may be particularly time intensive</w:t>
            </w:r>
          </w:p>
        </w:tc>
      </w:tr>
      <w:tr w:rsidR="00B6671A" w:rsidTr="00954D39">
        <w:tc>
          <w:tcPr>
            <w:tcW w:w="1435" w:type="dxa"/>
          </w:tcPr>
          <w:p w:rsidR="00B6671A" w:rsidRDefault="00B6671A" w:rsidP="003B7F26">
            <w:r>
              <w:t>External Tests</w:t>
            </w:r>
          </w:p>
        </w:tc>
        <w:tc>
          <w:tcPr>
            <w:tcW w:w="3960" w:type="dxa"/>
          </w:tcPr>
          <w:p w:rsidR="00B6671A" w:rsidRDefault="00B6671A" w:rsidP="003B7F26">
            <w:r>
              <w:t xml:space="preserve">• Make it possible </w:t>
            </w:r>
            <w:r w:rsidR="00F71A2E">
              <w:t>to compare across institutions</w:t>
            </w:r>
          </w:p>
          <w:p w:rsidR="00B6671A" w:rsidRDefault="00B6671A" w:rsidP="00954D39">
            <w:r>
              <w:t xml:space="preserve">• </w:t>
            </w:r>
            <w:r w:rsidR="00954D39">
              <w:t>M</w:t>
            </w:r>
            <w:r>
              <w:t xml:space="preserve">ay be particularly well developed or designed </w:t>
            </w:r>
          </w:p>
        </w:tc>
        <w:tc>
          <w:tcPr>
            <w:tcW w:w="3960" w:type="dxa"/>
          </w:tcPr>
          <w:p w:rsidR="00B6671A" w:rsidRDefault="00B6671A" w:rsidP="003B7F26">
            <w:r>
              <w:t>• May not be well aligned with local outcomes</w:t>
            </w:r>
          </w:p>
          <w:p w:rsidR="00B6671A" w:rsidRDefault="00B6671A" w:rsidP="003B7F26">
            <w:r>
              <w:t>• Generally are not free of cost</w:t>
            </w:r>
          </w:p>
        </w:tc>
      </w:tr>
      <w:tr w:rsidR="00B6671A" w:rsidTr="00954D39">
        <w:tc>
          <w:tcPr>
            <w:tcW w:w="9355" w:type="dxa"/>
            <w:gridSpan w:val="3"/>
          </w:tcPr>
          <w:p w:rsidR="00B6671A" w:rsidRDefault="00B6671A" w:rsidP="00954D39">
            <w:pPr>
              <w:jc w:val="center"/>
            </w:pPr>
            <w:r>
              <w:t>Indirect Evidence</w:t>
            </w:r>
          </w:p>
        </w:tc>
      </w:tr>
      <w:tr w:rsidR="00B6671A" w:rsidTr="00954D39">
        <w:tc>
          <w:tcPr>
            <w:tcW w:w="1435" w:type="dxa"/>
          </w:tcPr>
          <w:p w:rsidR="00B6671A" w:rsidRDefault="00B6671A" w:rsidP="003B7F26">
            <w:r>
              <w:t>Locally Developed Surveys</w:t>
            </w:r>
          </w:p>
        </w:tc>
        <w:tc>
          <w:tcPr>
            <w:tcW w:w="3960" w:type="dxa"/>
          </w:tcPr>
          <w:p w:rsidR="00B6671A" w:rsidRDefault="00B6671A" w:rsidP="003B7F26">
            <w:r>
              <w:t>• Can be quickly developed</w:t>
            </w:r>
          </w:p>
          <w:p w:rsidR="00B6671A" w:rsidRDefault="00B6671A" w:rsidP="003B7F26">
            <w:r>
              <w:t>• Can be administered at low cost</w:t>
            </w:r>
          </w:p>
          <w:p w:rsidR="00B6671A" w:rsidRDefault="00B6671A" w:rsidP="00954D39">
            <w:r>
              <w:t xml:space="preserve">• Can be </w:t>
            </w:r>
            <w:r w:rsidR="00954D39">
              <w:t xml:space="preserve">easily aligned </w:t>
            </w:r>
            <w:r>
              <w:t>to outcomes</w:t>
            </w:r>
          </w:p>
        </w:tc>
        <w:tc>
          <w:tcPr>
            <w:tcW w:w="3960" w:type="dxa"/>
          </w:tcPr>
          <w:p w:rsidR="00B6671A" w:rsidRDefault="00B6671A" w:rsidP="003B7F26">
            <w:r>
              <w:t>• Creating high quality surveys may require time and training</w:t>
            </w:r>
          </w:p>
          <w:p w:rsidR="00B6671A" w:rsidRDefault="00B6671A" w:rsidP="003B7F26">
            <w:r>
              <w:t>• Low response rates can impact validity of results</w:t>
            </w:r>
          </w:p>
        </w:tc>
      </w:tr>
      <w:tr w:rsidR="00B6671A" w:rsidTr="00954D39">
        <w:tc>
          <w:tcPr>
            <w:tcW w:w="1435" w:type="dxa"/>
          </w:tcPr>
          <w:p w:rsidR="00B6671A" w:rsidRDefault="00B6671A" w:rsidP="003B7F26">
            <w:r>
              <w:t>Externally Developed Surveys</w:t>
            </w:r>
          </w:p>
        </w:tc>
        <w:tc>
          <w:tcPr>
            <w:tcW w:w="3960" w:type="dxa"/>
          </w:tcPr>
          <w:p w:rsidR="00B6671A" w:rsidRDefault="00B6671A" w:rsidP="003B7F26">
            <w:r>
              <w:t xml:space="preserve">• </w:t>
            </w:r>
            <w:r w:rsidR="00954D39">
              <w:t>H</w:t>
            </w:r>
            <w:r>
              <w:t>ave already been developed, typically by individuals with background in survey methods</w:t>
            </w:r>
          </w:p>
          <w:p w:rsidR="00B6671A" w:rsidRDefault="00B6671A" w:rsidP="003B7F26">
            <w:r>
              <w:t>• Make it possible to compare across institutions (and across time)</w:t>
            </w:r>
          </w:p>
        </w:tc>
        <w:tc>
          <w:tcPr>
            <w:tcW w:w="3960" w:type="dxa"/>
          </w:tcPr>
          <w:p w:rsidR="00B6671A" w:rsidRDefault="00B6671A" w:rsidP="003B7F26">
            <w:r>
              <w:t>• May not be well aligned with locally developed outcomes</w:t>
            </w:r>
          </w:p>
          <w:p w:rsidR="00B6671A" w:rsidRDefault="00B6671A" w:rsidP="003B7F26">
            <w:r>
              <w:t>• Generally are not free</w:t>
            </w:r>
          </w:p>
          <w:p w:rsidR="00B6671A" w:rsidRDefault="00B6671A" w:rsidP="003B7F26">
            <w:r>
              <w:t>• Low response rates can impact validity of results</w:t>
            </w:r>
          </w:p>
        </w:tc>
      </w:tr>
      <w:tr w:rsidR="00B6671A" w:rsidTr="00954D39">
        <w:tc>
          <w:tcPr>
            <w:tcW w:w="1435" w:type="dxa"/>
          </w:tcPr>
          <w:p w:rsidR="00B6671A" w:rsidRDefault="00B6671A" w:rsidP="003B7F26">
            <w:r>
              <w:t>Reflective Essays</w:t>
            </w:r>
          </w:p>
        </w:tc>
        <w:tc>
          <w:tcPr>
            <w:tcW w:w="3960" w:type="dxa"/>
          </w:tcPr>
          <w:p w:rsidR="00B6671A" w:rsidRDefault="00B6671A" w:rsidP="003B7F26">
            <w:r>
              <w:t>• Can gather evidence on things (attitudes, change over time, etc) that would be difficult to assess other ways</w:t>
            </w:r>
          </w:p>
          <w:p w:rsidR="00B6671A" w:rsidRDefault="00B6671A" w:rsidP="003B7F26">
            <w:r>
              <w:t xml:space="preserve">• Can be used as a pedagogical tool to encourage reflection </w:t>
            </w:r>
          </w:p>
        </w:tc>
        <w:tc>
          <w:tcPr>
            <w:tcW w:w="3960" w:type="dxa"/>
          </w:tcPr>
          <w:p w:rsidR="00B6671A" w:rsidRDefault="00B6671A" w:rsidP="003B7F26">
            <w:r>
              <w:t>• Students may be tempted to write what they think instructors want to hear, and not what they actually think.</w:t>
            </w:r>
          </w:p>
        </w:tc>
      </w:tr>
      <w:tr w:rsidR="00B6671A" w:rsidTr="00954D39">
        <w:tc>
          <w:tcPr>
            <w:tcW w:w="1435" w:type="dxa"/>
          </w:tcPr>
          <w:p w:rsidR="00B6671A" w:rsidRDefault="00B6671A" w:rsidP="003B7F26">
            <w:r>
              <w:t>Focus Groups</w:t>
            </w:r>
          </w:p>
        </w:tc>
        <w:tc>
          <w:tcPr>
            <w:tcW w:w="3960" w:type="dxa"/>
          </w:tcPr>
          <w:p w:rsidR="00B6671A" w:rsidRDefault="00B6671A" w:rsidP="003B7F26">
            <w:r>
              <w:t>• An authentic way to learn about attitudes and perceptions</w:t>
            </w:r>
          </w:p>
          <w:p w:rsidR="00B6671A" w:rsidRDefault="00B6671A" w:rsidP="003B7F26">
            <w:r>
              <w:t>• Able to gather insights that instructors did not anticipate</w:t>
            </w:r>
          </w:p>
        </w:tc>
        <w:tc>
          <w:tcPr>
            <w:tcW w:w="3960" w:type="dxa"/>
          </w:tcPr>
          <w:p w:rsidR="00B6671A" w:rsidRDefault="00F71A2E" w:rsidP="003B7F26">
            <w:r>
              <w:t>• Keeping a focus group on topic</w:t>
            </w:r>
            <w:r w:rsidR="00DE0470">
              <w:t xml:space="preserve"> can require</w:t>
            </w:r>
            <w:r w:rsidR="00B6671A">
              <w:t xml:space="preserve"> some skill or training on the part of the facilitator</w:t>
            </w:r>
          </w:p>
          <w:p w:rsidR="00B6671A" w:rsidRDefault="00B6671A" w:rsidP="003B7F26">
            <w:r>
              <w:t>• Evidence from focus groups is often unstructured, requiring skills in qualitative analysis</w:t>
            </w:r>
          </w:p>
        </w:tc>
      </w:tr>
      <w:tr w:rsidR="00B6671A" w:rsidTr="00954D39">
        <w:tc>
          <w:tcPr>
            <w:tcW w:w="1435" w:type="dxa"/>
          </w:tcPr>
          <w:p w:rsidR="00B6671A" w:rsidRDefault="00B6671A" w:rsidP="003B7F26">
            <w:r>
              <w:t>Graduation Rates</w:t>
            </w:r>
          </w:p>
        </w:tc>
        <w:tc>
          <w:tcPr>
            <w:tcW w:w="3960" w:type="dxa"/>
          </w:tcPr>
          <w:p w:rsidR="00B6671A" w:rsidRDefault="00B6671A" w:rsidP="003B7F26">
            <w:r>
              <w:t>• Facilitate comparison between groups and overtime</w:t>
            </w:r>
          </w:p>
          <w:p w:rsidR="00B6671A" w:rsidRDefault="00B6671A" w:rsidP="003B7F26">
            <w:r>
              <w:t>• Can be seen as important measures of student success</w:t>
            </w:r>
          </w:p>
        </w:tc>
        <w:tc>
          <w:tcPr>
            <w:tcW w:w="3960" w:type="dxa"/>
          </w:tcPr>
          <w:p w:rsidR="00B6671A" w:rsidRDefault="00B6671A" w:rsidP="003B7F26">
            <w:r>
              <w:t xml:space="preserve">• Constructing such measures may </w:t>
            </w:r>
            <w:r w:rsidR="00153029">
              <w:t>require</w:t>
            </w:r>
            <w:r w:rsidR="00B32DDF">
              <w:t xml:space="preserve"> training in</w:t>
            </w:r>
            <w:r>
              <w:t xml:space="preserve"> data management and analysis techniques </w:t>
            </w:r>
          </w:p>
          <w:p w:rsidR="00B6671A" w:rsidRDefault="00B6671A" w:rsidP="003B7F26">
            <w:r>
              <w:t>•These are likely to be, at best, a very rough proxy for any specific learning outcome</w:t>
            </w:r>
          </w:p>
        </w:tc>
      </w:tr>
    </w:tbl>
    <w:p w:rsidR="00F01BCA" w:rsidRDefault="00F01BCA">
      <w:pPr>
        <w:rPr>
          <w:b/>
        </w:rPr>
      </w:pPr>
    </w:p>
    <w:p w:rsidR="00B6671A" w:rsidRDefault="00B6671A" w:rsidP="00B6671A">
      <w:r>
        <w:rPr>
          <w:b/>
        </w:rPr>
        <w:t>Step 4)</w:t>
      </w:r>
      <w:r w:rsidR="00F01BCA">
        <w:rPr>
          <w:b/>
        </w:rPr>
        <w:t xml:space="preserve"> Analyze Evidence</w:t>
      </w:r>
      <w:r w:rsidR="00153029">
        <w:rPr>
          <w:b/>
        </w:rPr>
        <w:t xml:space="preserve">  </w:t>
      </w:r>
      <w:r w:rsidR="00DD2C5C">
        <w:rPr>
          <w:b/>
        </w:rPr>
        <w:tab/>
      </w:r>
      <w:r w:rsidR="00DD2C5C">
        <w:rPr>
          <w:b/>
        </w:rPr>
        <w:tab/>
      </w:r>
      <w:r w:rsidR="00DD2C5C">
        <w:rPr>
          <w:b/>
        </w:rPr>
        <w:tab/>
      </w:r>
      <w:r>
        <w:t xml:space="preserve">Analyzing evidence of student learning is one of the most important steps, and there are many ways </w:t>
      </w:r>
      <w:r w:rsidR="00954D39">
        <w:t>to</w:t>
      </w:r>
      <w:r>
        <w:t xml:space="preserve"> do this. </w:t>
      </w:r>
    </w:p>
    <w:p w:rsidR="00B32DDF" w:rsidRDefault="00B32DDF" w:rsidP="00B6671A">
      <w:r>
        <w:t xml:space="preserve">If you gathered evidence in way that easily lends itself to quantification (e.g.: how many questions a student got correct) you may want to use mathematical or statistical techniques to </w:t>
      </w:r>
      <w:r w:rsidR="00FF1A7B">
        <w:t xml:space="preserve">summarize your evidence and </w:t>
      </w:r>
      <w:r>
        <w:t>get an idea of what students are learning.</w:t>
      </w:r>
    </w:p>
    <w:p w:rsidR="00B6671A" w:rsidRPr="00FF43F4" w:rsidRDefault="00B6671A" w:rsidP="00B6671A">
      <w:r w:rsidRPr="00954D39">
        <w:rPr>
          <w:u w:val="single"/>
        </w:rPr>
        <w:t>Rubrics</w:t>
      </w:r>
      <w:r>
        <w:t xml:space="preserve"> are </w:t>
      </w:r>
      <w:r w:rsidR="00DE0470">
        <w:t>a</w:t>
      </w:r>
      <w:r>
        <w:t xml:space="preserve"> common way to analyze assessment data and most often set up as a matrix </w:t>
      </w:r>
      <w:r w:rsidR="00153029">
        <w:t>that</w:t>
      </w:r>
      <w:r>
        <w:t xml:space="preserve"> specifies various levels of performance across one or more dimensions of student learning. Rubrics are versatile and can be used to assess many kinds of evidence.</w:t>
      </w:r>
      <w:r w:rsidR="00153029">
        <w:t xml:space="preserve"> You can create your own rubric</w:t>
      </w:r>
      <w:r>
        <w:t xml:space="preserve"> or modify one of the many existing rubrics. For example, see the American Association of Colleges and Universities</w:t>
      </w:r>
      <w:r w:rsidR="00F100CB">
        <w:t xml:space="preserve"> for</w:t>
      </w:r>
      <w:r>
        <w:t xml:space="preserve"> rubrics </w:t>
      </w:r>
      <w:r w:rsidR="00954D39">
        <w:t>to assess things</w:t>
      </w:r>
      <w:r>
        <w:t xml:space="preserve"> </w:t>
      </w:r>
      <w:r w:rsidRPr="00FF43F4">
        <w:t>like critical thinking, written communication, and information literacy</w:t>
      </w:r>
      <w:r w:rsidR="00F100CB">
        <w:t>,</w:t>
      </w:r>
      <w:r w:rsidRPr="00FF43F4">
        <w:t xml:space="preserve"> as well as many </w:t>
      </w:r>
      <w:r w:rsidR="00954D39">
        <w:t>others</w:t>
      </w:r>
      <w:r w:rsidR="00F100CB">
        <w:t>,</w:t>
      </w:r>
      <w:r w:rsidR="00954D39">
        <w:t xml:space="preserve"> </w:t>
      </w:r>
      <w:r w:rsidR="00FF43F4">
        <w:t>a</w:t>
      </w:r>
      <w:r w:rsidR="00954D39">
        <w:t>t</w:t>
      </w:r>
      <w:r w:rsidR="00FF43F4">
        <w:t xml:space="preserve"> </w:t>
      </w:r>
      <w:hyperlink r:id="rId7" w:history="1">
        <w:r w:rsidR="00FF43F4" w:rsidRPr="009F5514">
          <w:rPr>
            <w:rStyle w:val="Hyperlink"/>
          </w:rPr>
          <w:t>https://www.aacu.org/value-rubrics</w:t>
        </w:r>
      </w:hyperlink>
      <w:r w:rsidR="00FF43F4">
        <w:t>.</w:t>
      </w:r>
    </w:p>
    <w:p w:rsidR="00B6671A" w:rsidRDefault="00F01BCA" w:rsidP="00B6671A">
      <w:r>
        <w:t>However you analyze evidence visual representation (like charts and</w:t>
      </w:r>
      <w:r w:rsidR="00B6671A">
        <w:t xml:space="preserve"> graphs</w:t>
      </w:r>
      <w:r>
        <w:t>)</w:t>
      </w:r>
      <w:r w:rsidR="00B6671A">
        <w:t xml:space="preserve"> may be useful to the extent </w:t>
      </w:r>
      <w:r w:rsidR="00153029">
        <w:t xml:space="preserve">that </w:t>
      </w:r>
      <w:r w:rsidR="00B6671A">
        <w:t>the</w:t>
      </w:r>
      <w:r w:rsidR="002D3E61">
        <w:t>y can</w:t>
      </w:r>
      <w:r w:rsidR="00B6671A">
        <w:t xml:space="preserve"> summarize data, make it easier to </w:t>
      </w:r>
      <w:r w:rsidR="002D3E61">
        <w:t>see patterns and accurately</w:t>
      </w:r>
      <w:r w:rsidR="00B6671A">
        <w:t xml:space="preserve"> represent the data.</w:t>
      </w:r>
    </w:p>
    <w:p w:rsidR="00DE0470" w:rsidRDefault="00DE0470" w:rsidP="00B6671A"/>
    <w:p w:rsidR="00B6671A" w:rsidRDefault="00B6671A" w:rsidP="00B6671A">
      <w:r>
        <w:rPr>
          <w:b/>
        </w:rPr>
        <w:t>Step 5)</w:t>
      </w:r>
      <w:r w:rsidR="00153029">
        <w:rPr>
          <w:b/>
        </w:rPr>
        <w:t xml:space="preserve"> Share what you Learned  </w:t>
      </w:r>
      <w:r w:rsidR="00DD2C5C">
        <w:rPr>
          <w:b/>
        </w:rPr>
        <w:tab/>
      </w:r>
      <w:r w:rsidR="00DD2C5C">
        <w:rPr>
          <w:b/>
        </w:rPr>
        <w:tab/>
      </w:r>
      <w:r>
        <w:t>Documenting and sharing what you learn from assessment is an important step in using assessment as a tool for student success. This is not only a way to share what you have learned, it may provide others with additional insight and information</w:t>
      </w:r>
      <w:r w:rsidR="00153029">
        <w:t>. Also, it</w:t>
      </w:r>
      <w:r>
        <w:t xml:space="preserve"> can be an important part of making changes in response to what you have learned.   </w:t>
      </w:r>
    </w:p>
    <w:p w:rsidR="00B6671A" w:rsidRDefault="002D3E61" w:rsidP="00B6671A">
      <w:r>
        <w:t xml:space="preserve">If you are </w:t>
      </w:r>
      <w:r w:rsidR="00B6671A">
        <w:t>assess</w:t>
      </w:r>
      <w:r w:rsidR="00DE0470">
        <w:t>ing student learning in an undergraduate program</w:t>
      </w:r>
      <w:r w:rsidR="00B6671A">
        <w:t xml:space="preserve"> for annual reporting purposes see  </w:t>
      </w:r>
      <w:hyperlink r:id="rId8" w:history="1">
        <w:r w:rsidR="00FF43F4" w:rsidRPr="009F5514">
          <w:rPr>
            <w:rStyle w:val="Hyperlink"/>
          </w:rPr>
          <w:t>http://ueeval.ucr.edu/assessment/loa_report.html</w:t>
        </w:r>
      </w:hyperlink>
      <w:r w:rsidR="00FF43F4">
        <w:t xml:space="preserve"> </w:t>
      </w:r>
      <w:r w:rsidR="00DE0470">
        <w:t>for more details.</w:t>
      </w:r>
    </w:p>
    <w:p w:rsidR="00FF43F4" w:rsidRDefault="00FF43F4" w:rsidP="00B6671A"/>
    <w:p w:rsidR="00B6671A" w:rsidRPr="00B6671A" w:rsidRDefault="00B6671A" w:rsidP="00B6671A">
      <w:r>
        <w:rPr>
          <w:b/>
        </w:rPr>
        <w:t>Step 6)</w:t>
      </w:r>
      <w:r w:rsidR="00F01BCA">
        <w:rPr>
          <w:b/>
        </w:rPr>
        <w:t xml:space="preserve"> Use what you learned</w:t>
      </w:r>
      <w:r w:rsidR="00153029">
        <w:rPr>
          <w:b/>
        </w:rPr>
        <w:t xml:space="preserve">  </w:t>
      </w:r>
      <w:r w:rsidR="00DD2C5C">
        <w:rPr>
          <w:b/>
        </w:rPr>
        <w:tab/>
      </w:r>
      <w:r w:rsidR="00DD2C5C">
        <w:rPr>
          <w:b/>
        </w:rPr>
        <w:tab/>
      </w:r>
      <w:r w:rsidR="00DD2C5C">
        <w:rPr>
          <w:b/>
        </w:rPr>
        <w:tab/>
      </w:r>
      <w:r>
        <w:t xml:space="preserve">The goal of assessment is to discover actionable insights into how you might facilitate student learning and student success. Using assessment results in this way is often referred to as </w:t>
      </w:r>
      <w:r w:rsidRPr="00954D39">
        <w:rPr>
          <w:u w:val="single"/>
        </w:rPr>
        <w:t>closing the loop</w:t>
      </w:r>
      <w:r>
        <w:t>, and t</w:t>
      </w:r>
      <w:r w:rsidRPr="009903B8">
        <w:t>here are three general ways to use what you have learned from assessment.</w:t>
      </w:r>
    </w:p>
    <w:p w:rsidR="00B6671A" w:rsidRPr="00B6671A" w:rsidRDefault="00FD72DE" w:rsidP="00B6671A">
      <w:pPr>
        <w:ind w:left="720"/>
        <w:rPr>
          <w:b/>
        </w:rPr>
      </w:pPr>
      <w:r>
        <w:t xml:space="preserve">1) </w:t>
      </w:r>
      <w:r w:rsidR="00B6671A" w:rsidRPr="00B6671A">
        <w:t>Celebrate your success</w:t>
      </w:r>
      <w:r w:rsidR="00B6671A">
        <w:rPr>
          <w:b/>
        </w:rPr>
        <w:t xml:space="preserve">: </w:t>
      </w:r>
      <w:r w:rsidR="00B6671A">
        <w:t xml:space="preserve">If you learn that </w:t>
      </w:r>
      <w:r w:rsidR="00B6671A" w:rsidRPr="007C1FE2">
        <w:t>students are meeting your expectations</w:t>
      </w:r>
      <w:r w:rsidR="00B6671A">
        <w:t>, indicating that teaching is generally effective and that learning is proceeding as expected, this is good news. You should share your success and keep doing what helps students learn.</w:t>
      </w:r>
    </w:p>
    <w:p w:rsidR="00B6671A" w:rsidRDefault="00FD72DE" w:rsidP="00B6671A">
      <w:pPr>
        <w:ind w:left="720"/>
      </w:pPr>
      <w:r>
        <w:t xml:space="preserve">2) </w:t>
      </w:r>
      <w:r w:rsidR="00B6671A" w:rsidRPr="00B6671A">
        <w:t xml:space="preserve">Make changes to facilitate learning: If </w:t>
      </w:r>
      <w:r w:rsidR="00153029">
        <w:t>you learn that students are not</w:t>
      </w:r>
      <w:r w:rsidR="00B6671A" w:rsidRPr="00B6671A">
        <w:t xml:space="preserve"> meeting your </w:t>
      </w:r>
      <w:r w:rsidR="00B6671A" w:rsidRPr="007C1FE2">
        <w:t>expectations</w:t>
      </w:r>
      <w:r w:rsidR="00153029">
        <w:t>,</w:t>
      </w:r>
      <w:r w:rsidR="00B6671A">
        <w:t xml:space="preserve"> you will probably want to change some aspect of teaching, program organization</w:t>
      </w:r>
      <w:r w:rsidR="00153029">
        <w:t>,</w:t>
      </w:r>
      <w:r w:rsidR="00B6671A">
        <w:t xml:space="preserve"> or try something new to help students learn. </w:t>
      </w:r>
    </w:p>
    <w:p w:rsidR="00B6671A" w:rsidRPr="00B6671A" w:rsidRDefault="00FD72DE" w:rsidP="00F01BCA">
      <w:pPr>
        <w:ind w:left="720"/>
        <w:rPr>
          <w:b/>
        </w:rPr>
      </w:pPr>
      <w:r>
        <w:t xml:space="preserve">3) </w:t>
      </w:r>
      <w:r w:rsidR="00B6671A" w:rsidRPr="00B6671A">
        <w:t>Make changes to your assessment process:</w:t>
      </w:r>
      <w:r w:rsidR="00B6671A">
        <w:rPr>
          <w:b/>
        </w:rPr>
        <w:t xml:space="preserve"> </w:t>
      </w:r>
      <w:r w:rsidR="00B6671A">
        <w:t xml:space="preserve">The other general outcome of assessment might be </w:t>
      </w:r>
      <w:r w:rsidR="00B6671A" w:rsidRPr="00DC5CF7">
        <w:t xml:space="preserve">changing the way you </w:t>
      </w:r>
      <w:r w:rsidR="00B6671A">
        <w:t xml:space="preserve">do </w:t>
      </w:r>
      <w:r w:rsidR="00B6671A" w:rsidRPr="00DC5CF7">
        <w:t>assess</w:t>
      </w:r>
      <w:r w:rsidR="00B6671A">
        <w:t>ment</w:t>
      </w:r>
      <w:r w:rsidR="00B6671A" w:rsidRPr="00DC5CF7">
        <w:t>.</w:t>
      </w:r>
      <w:r w:rsidR="00B6671A">
        <w:rPr>
          <w:b/>
        </w:rPr>
        <w:t xml:space="preserve"> </w:t>
      </w:r>
      <w:r w:rsidR="00B6671A">
        <w:t xml:space="preserve">Particularly if it is one of the first few times you do assessment work, it may be the case that your assessment process could be improved. </w:t>
      </w:r>
    </w:p>
    <w:sectPr w:rsidR="00B6671A" w:rsidRPr="00B6671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6FC" w:rsidRDefault="005226FC" w:rsidP="00FF43F4">
      <w:pPr>
        <w:spacing w:after="0" w:line="240" w:lineRule="auto"/>
      </w:pPr>
      <w:r>
        <w:separator/>
      </w:r>
    </w:p>
  </w:endnote>
  <w:endnote w:type="continuationSeparator" w:id="0">
    <w:p w:rsidR="005226FC" w:rsidRDefault="005226FC" w:rsidP="00FF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2486481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43F4" w:rsidRPr="00FF43F4" w:rsidRDefault="00FF43F4" w:rsidP="00FF43F4">
        <w:pPr>
          <w:pStyle w:val="Footer"/>
          <w:jc w:val="right"/>
          <w:rPr>
            <w:sz w:val="18"/>
            <w:szCs w:val="18"/>
          </w:rPr>
        </w:pPr>
        <w:r w:rsidRPr="00FF43F4">
          <w:rPr>
            <w:sz w:val="18"/>
            <w:szCs w:val="18"/>
          </w:rPr>
          <w:fldChar w:fldCharType="begin"/>
        </w:r>
        <w:r w:rsidRPr="00FF43F4">
          <w:rPr>
            <w:sz w:val="18"/>
            <w:szCs w:val="18"/>
          </w:rPr>
          <w:instrText xml:space="preserve"> PAGE   \* MERGEFORMAT </w:instrText>
        </w:r>
        <w:r w:rsidRPr="00FF43F4">
          <w:rPr>
            <w:sz w:val="18"/>
            <w:szCs w:val="18"/>
          </w:rPr>
          <w:fldChar w:fldCharType="separate"/>
        </w:r>
        <w:r w:rsidR="00BA0951">
          <w:rPr>
            <w:noProof/>
            <w:sz w:val="18"/>
            <w:szCs w:val="18"/>
          </w:rPr>
          <w:t>1</w:t>
        </w:r>
        <w:r w:rsidRPr="00FF43F4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6FC" w:rsidRDefault="005226FC" w:rsidP="00FF43F4">
      <w:pPr>
        <w:spacing w:after="0" w:line="240" w:lineRule="auto"/>
      </w:pPr>
      <w:r>
        <w:separator/>
      </w:r>
    </w:p>
  </w:footnote>
  <w:footnote w:type="continuationSeparator" w:id="0">
    <w:p w:rsidR="005226FC" w:rsidRDefault="005226FC" w:rsidP="00FF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3F4" w:rsidRPr="00FF43F4" w:rsidRDefault="00FF43F4" w:rsidP="00FF43F4">
    <w:pPr>
      <w:pStyle w:val="Footer"/>
      <w:jc w:val="right"/>
      <w:rPr>
        <w:sz w:val="18"/>
        <w:szCs w:val="18"/>
      </w:rPr>
    </w:pPr>
    <w:r w:rsidRPr="00FF43F4">
      <w:rPr>
        <w:sz w:val="18"/>
        <w:szCs w:val="18"/>
      </w:rPr>
      <w:t xml:space="preserve">Assessment Basics </w:t>
    </w:r>
    <w:r w:rsidR="004338C9">
      <w:rPr>
        <w:sz w:val="18"/>
        <w:szCs w:val="18"/>
      </w:rPr>
      <w:t>1</w:t>
    </w:r>
    <w:r w:rsidRPr="00FF43F4">
      <w:rPr>
        <w:sz w:val="18"/>
        <w:szCs w:val="18"/>
      </w:rPr>
      <w:t>0/1</w:t>
    </w:r>
    <w:r w:rsidR="008A2EEA">
      <w:rPr>
        <w:sz w:val="18"/>
        <w:szCs w:val="18"/>
      </w:rPr>
      <w:t>1/17</w:t>
    </w:r>
  </w:p>
  <w:p w:rsidR="00FF43F4" w:rsidRPr="00FF43F4" w:rsidRDefault="00FF43F4" w:rsidP="00FF43F4">
    <w:pPr>
      <w:pStyle w:val="Footer"/>
      <w:jc w:val="right"/>
      <w:rPr>
        <w:sz w:val="18"/>
        <w:szCs w:val="18"/>
      </w:rPr>
    </w:pPr>
    <w:r w:rsidRPr="00FF43F4">
      <w:rPr>
        <w:sz w:val="18"/>
        <w:szCs w:val="18"/>
      </w:rPr>
      <w:t>Office of Evaluation and Assessment</w:t>
    </w:r>
  </w:p>
  <w:p w:rsidR="00FF43F4" w:rsidRDefault="00FF43F4" w:rsidP="00FF43F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1A"/>
    <w:rsid w:val="0005156B"/>
    <w:rsid w:val="000D0E8A"/>
    <w:rsid w:val="00153029"/>
    <w:rsid w:val="002D3E61"/>
    <w:rsid w:val="00301954"/>
    <w:rsid w:val="003E0794"/>
    <w:rsid w:val="004338C9"/>
    <w:rsid w:val="00462E74"/>
    <w:rsid w:val="005226FC"/>
    <w:rsid w:val="008A2EEA"/>
    <w:rsid w:val="008E3128"/>
    <w:rsid w:val="00954D39"/>
    <w:rsid w:val="00A814C8"/>
    <w:rsid w:val="00AA4F4E"/>
    <w:rsid w:val="00AC6FDB"/>
    <w:rsid w:val="00B32DDF"/>
    <w:rsid w:val="00B6671A"/>
    <w:rsid w:val="00BA0951"/>
    <w:rsid w:val="00CA6FB3"/>
    <w:rsid w:val="00D13EC6"/>
    <w:rsid w:val="00DD2C5C"/>
    <w:rsid w:val="00DE0470"/>
    <w:rsid w:val="00F01BCA"/>
    <w:rsid w:val="00F100CB"/>
    <w:rsid w:val="00F5676A"/>
    <w:rsid w:val="00F71A2E"/>
    <w:rsid w:val="00FD72DE"/>
    <w:rsid w:val="00FF1A7B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30888-DC96-4306-9B90-3609C88B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7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43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4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3F4"/>
  </w:style>
  <w:style w:type="paragraph" w:styleId="Footer">
    <w:name w:val="footer"/>
    <w:basedOn w:val="Normal"/>
    <w:link w:val="FooterChar"/>
    <w:uiPriority w:val="99"/>
    <w:unhideWhenUsed/>
    <w:rsid w:val="00FF4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eeval.ucr.edu/assessment/loa_repor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acu.org/value-rubric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ft.vanderbilt.edu/guides-sub-pages/blooms-taxonomy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Coyne</dc:creator>
  <cp:keywords/>
  <dc:description/>
  <cp:lastModifiedBy>Anna Finn</cp:lastModifiedBy>
  <cp:revision>2</cp:revision>
  <cp:lastPrinted>2017-10-11T19:29:00Z</cp:lastPrinted>
  <dcterms:created xsi:type="dcterms:W3CDTF">2019-01-14T22:01:00Z</dcterms:created>
  <dcterms:modified xsi:type="dcterms:W3CDTF">2019-01-14T22:01:00Z</dcterms:modified>
</cp:coreProperties>
</file>