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48"/>
        <w:tblW w:w="14125" w:type="dxa"/>
        <w:tblLook w:val="04A0" w:firstRow="1" w:lastRow="0" w:firstColumn="1" w:lastColumn="0" w:noHBand="0" w:noVBand="1"/>
      </w:tblPr>
      <w:tblGrid>
        <w:gridCol w:w="2515"/>
        <w:gridCol w:w="3510"/>
        <w:gridCol w:w="4050"/>
        <w:gridCol w:w="4050"/>
      </w:tblGrid>
      <w:tr w:rsidR="0064789A" w:rsidRPr="0064789A" w14:paraId="09F2180C" w14:textId="77777777" w:rsidTr="00BD6EB1">
        <w:tc>
          <w:tcPr>
            <w:tcW w:w="2515" w:type="dxa"/>
            <w:shd w:val="clear" w:color="auto" w:fill="D0CECE" w:themeFill="background2" w:themeFillShade="E6"/>
          </w:tcPr>
          <w:p w14:paraId="1944DA8D" w14:textId="77777777" w:rsidR="0064789A" w:rsidRPr="0064789A" w:rsidRDefault="0064789A" w:rsidP="00BD6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shd w:val="clear" w:color="auto" w:fill="D0CECE" w:themeFill="background2" w:themeFillShade="E6"/>
          </w:tcPr>
          <w:p w14:paraId="0181038E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Emergent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4D721821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Developed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2D149703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Highly Developed</w:t>
            </w:r>
          </w:p>
        </w:tc>
      </w:tr>
      <w:tr w:rsidR="0064789A" w:rsidRPr="0064789A" w14:paraId="04F24C2E" w14:textId="77777777" w:rsidTr="00BD6EB1">
        <w:tc>
          <w:tcPr>
            <w:tcW w:w="2515" w:type="dxa"/>
            <w:vAlign w:val="center"/>
          </w:tcPr>
          <w:p w14:paraId="2791428D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Student Learning Outcomes</w:t>
            </w:r>
          </w:p>
        </w:tc>
        <w:tc>
          <w:tcPr>
            <w:tcW w:w="3510" w:type="dxa"/>
          </w:tcPr>
          <w:p w14:paraId="0AB2EBED" w14:textId="7E78CC94" w:rsidR="0064789A" w:rsidRPr="00506159" w:rsidRDefault="0064789A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Student learning outcomes are vague or overly broad; outcomes do 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suggest what students might be able to do to show mastery.</w:t>
            </w:r>
          </w:p>
        </w:tc>
        <w:tc>
          <w:tcPr>
            <w:tcW w:w="4050" w:type="dxa"/>
          </w:tcPr>
          <w:p w14:paraId="0D118844" w14:textId="65C98178" w:rsidR="0064789A" w:rsidRPr="00506159" w:rsidRDefault="0064789A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Most outcomes are reasonably clear </w:t>
            </w:r>
            <w:r w:rsidR="002F5E72" w:rsidRPr="00506159">
              <w:rPr>
                <w:rFonts w:ascii="Times New Roman" w:hAnsi="Times New Roman" w:cs="Times New Roman"/>
                <w:sz w:val="20"/>
                <w:szCs w:val="20"/>
              </w:rPr>
              <w:t>and specific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; some outcomes suggest what students might be able to do to show mastery.</w:t>
            </w:r>
          </w:p>
        </w:tc>
        <w:tc>
          <w:tcPr>
            <w:tcW w:w="4050" w:type="dxa"/>
          </w:tcPr>
          <w:p w14:paraId="74A54FC6" w14:textId="77777777" w:rsidR="0064789A" w:rsidRPr="00506159" w:rsidRDefault="0064789A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Outcomes have unambiguous content; outcomes suggest what students would be able to do to show mastery.</w:t>
            </w:r>
          </w:p>
        </w:tc>
      </w:tr>
      <w:tr w:rsidR="0064789A" w:rsidRPr="0064789A" w14:paraId="3AE88EE4" w14:textId="77777777" w:rsidTr="00BD6EB1">
        <w:tc>
          <w:tcPr>
            <w:tcW w:w="2515" w:type="dxa"/>
            <w:vAlign w:val="center"/>
          </w:tcPr>
          <w:p w14:paraId="5E612DE4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Alignment of Learning Opportunities</w:t>
            </w:r>
          </w:p>
        </w:tc>
        <w:tc>
          <w:tcPr>
            <w:tcW w:w="3510" w:type="dxa"/>
          </w:tcPr>
          <w:p w14:paraId="512A71F9" w14:textId="02BD0E8C" w:rsidR="0064789A" w:rsidRPr="00506159" w:rsidRDefault="004055F6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Alignment between outc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>omes and learning opportunities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is incomplete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. 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ome outcomes not addressed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in coursework and/or some coursework addresses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no outcomes.</w:t>
            </w:r>
          </w:p>
        </w:tc>
        <w:tc>
          <w:tcPr>
            <w:tcW w:w="4050" w:type="dxa"/>
          </w:tcPr>
          <w:p w14:paraId="646337BE" w14:textId="26013F42" w:rsidR="0064789A" w:rsidRPr="00506159" w:rsidRDefault="004055F6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Alignment between outcomes and learning opportunities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are articulated. Each outcome is addressed in at least one course and each course addresses at least one outcome.</w:t>
            </w:r>
          </w:p>
        </w:tc>
        <w:tc>
          <w:tcPr>
            <w:tcW w:w="4050" w:type="dxa"/>
          </w:tcPr>
          <w:p w14:paraId="4D5E6F81" w14:textId="633459E1" w:rsidR="0064789A" w:rsidRPr="00506159" w:rsidRDefault="004055F6" w:rsidP="007B6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Alignment between outc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>omes and learning opportunities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is well articulated, </w:t>
            </w:r>
            <w:r w:rsidR="007B6E35" w:rsidRPr="0050615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clear</w:t>
            </w:r>
            <w:r w:rsidR="007B6E35" w:rsidRPr="00506159">
              <w:rPr>
                <w:rFonts w:ascii="Times New Roman" w:hAnsi="Times New Roman" w:cs="Times New Roman"/>
                <w:sz w:val="20"/>
                <w:szCs w:val="20"/>
              </w:rPr>
              <w:t>ly shows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where outcomes will be introduced, developed and practiced.</w:t>
            </w:r>
          </w:p>
        </w:tc>
      </w:tr>
      <w:tr w:rsidR="0064789A" w:rsidRPr="0064789A" w14:paraId="4882382E" w14:textId="77777777" w:rsidTr="00BD6EB1">
        <w:tc>
          <w:tcPr>
            <w:tcW w:w="2515" w:type="dxa"/>
            <w:vAlign w:val="center"/>
          </w:tcPr>
          <w:p w14:paraId="06BE914E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Evidence of Learning</w:t>
            </w:r>
          </w:p>
        </w:tc>
        <w:tc>
          <w:tcPr>
            <w:tcW w:w="3510" w:type="dxa"/>
          </w:tcPr>
          <w:p w14:paraId="57D913F5" w14:textId="46A86C3E" w:rsidR="0064789A" w:rsidRPr="00506159" w:rsidRDefault="002F5E72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Quality of 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evidence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 xml:space="preserve">of questionable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reliability or validity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>limited amount of student evidence is used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>; only one type of evidence is used.</w:t>
            </w:r>
          </w:p>
        </w:tc>
        <w:tc>
          <w:tcPr>
            <w:tcW w:w="4050" w:type="dxa"/>
          </w:tcPr>
          <w:p w14:paraId="3DDF87CE" w14:textId="3A442FB8" w:rsidR="0064789A" w:rsidRPr="00506159" w:rsidRDefault="002F5E72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Quality of evidence is adequate or limited by practical concerns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; amount of evidence used seems reasonable; more than one type of evidence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used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4369AF98" w14:textId="2FC90912" w:rsidR="0064789A" w:rsidRPr="00506159" w:rsidRDefault="002F5E72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Evidence is of good </w:t>
            </w:r>
            <w:r w:rsidR="007B6E35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quality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and/or steps were taken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overcome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limitations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>; there is explicit justification for the quantity of evidence collected; more than one kind of evidence is use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to add</w:t>
            </w:r>
            <w:r w:rsidR="004055F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value to the overall process.</w:t>
            </w:r>
          </w:p>
        </w:tc>
      </w:tr>
      <w:tr w:rsidR="0064789A" w:rsidRPr="0064789A" w14:paraId="5B4B8ABF" w14:textId="77777777" w:rsidTr="00BD6EB1">
        <w:tc>
          <w:tcPr>
            <w:tcW w:w="2515" w:type="dxa"/>
            <w:vAlign w:val="center"/>
          </w:tcPr>
          <w:p w14:paraId="46B20E02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Analysis of Evidence</w:t>
            </w:r>
          </w:p>
        </w:tc>
        <w:tc>
          <w:tcPr>
            <w:tcW w:w="3510" w:type="dxa"/>
          </w:tcPr>
          <w:p w14:paraId="37D03FA3" w14:textId="68EEF6B4" w:rsidR="0064789A" w:rsidRPr="00506159" w:rsidRDefault="004055F6" w:rsidP="00C81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Analysis is limited</w:t>
            </w:r>
            <w:r w:rsidR="009D74DB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to totals or overall averages and/or analysis simply reports statistics with no reflection; analysis does not examine various di</w:t>
            </w:r>
            <w:r w:rsidR="00D45AB9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mensions of </w:t>
            </w:r>
            <w:r w:rsidR="00C81756" w:rsidRPr="00506159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r w:rsidR="00D45AB9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or performance across subgroups of students.</w:t>
            </w:r>
          </w:p>
        </w:tc>
        <w:tc>
          <w:tcPr>
            <w:tcW w:w="4050" w:type="dxa"/>
          </w:tcPr>
          <w:p w14:paraId="4B26330B" w14:textId="464D4E3B" w:rsidR="0064789A" w:rsidRPr="00506159" w:rsidRDefault="009D74DB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Analysis conveys a relatively complete picture of the evidence by making connections between various features of the assessment process; analysis looks at more obvious dimensions of learning or subgroups of students. </w:t>
            </w:r>
          </w:p>
        </w:tc>
        <w:tc>
          <w:tcPr>
            <w:tcW w:w="4050" w:type="dxa"/>
          </w:tcPr>
          <w:p w14:paraId="13811D3E" w14:textId="02DF428B" w:rsidR="0064789A" w:rsidRPr="00506159" w:rsidRDefault="009D74DB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Analysis is insightful and makes connections between </w:t>
            </w:r>
            <w:r w:rsidR="00C81756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issues and higher level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e.g.: </w:t>
            </w:r>
            <w:r w:rsidR="00C81756" w:rsidRPr="00506159">
              <w:rPr>
                <w:rFonts w:ascii="Times New Roman" w:hAnsi="Times New Roman" w:cs="Times New Roman"/>
                <w:sz w:val="20"/>
                <w:szCs w:val="20"/>
              </w:rPr>
              <w:t>campus/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disciplinary) trends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 xml:space="preserve">; analysis examines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various dimensions of learning in ways that are sophisticated.</w:t>
            </w:r>
          </w:p>
        </w:tc>
      </w:tr>
      <w:tr w:rsidR="0064789A" w:rsidRPr="0064789A" w14:paraId="2DAB6B38" w14:textId="77777777" w:rsidTr="00BD6EB1">
        <w:tc>
          <w:tcPr>
            <w:tcW w:w="2515" w:type="dxa"/>
            <w:vAlign w:val="center"/>
          </w:tcPr>
          <w:p w14:paraId="7C169634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Documentation</w:t>
            </w:r>
          </w:p>
        </w:tc>
        <w:tc>
          <w:tcPr>
            <w:tcW w:w="3510" w:type="dxa"/>
          </w:tcPr>
          <w:p w14:paraId="098D3A69" w14:textId="12A1E1A7" w:rsidR="0064789A" w:rsidRPr="00506159" w:rsidRDefault="00BD6EB1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Reporting leaves the </w:t>
            </w:r>
            <w:r w:rsidR="00867314" w:rsidRPr="00506159">
              <w:rPr>
                <w:rFonts w:ascii="Times New Roman" w:hAnsi="Times New Roman" w:cs="Times New Roman"/>
                <w:sz w:val="20"/>
                <w:szCs w:val="20"/>
              </w:rPr>
              <w:t>reader with significant questions about the nature and outcome of the assessment work described.</w:t>
            </w:r>
            <w:r w:rsidR="00C662EE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14:paraId="0A0688D1" w14:textId="5B3CE995" w:rsidR="0064789A" w:rsidRPr="00506159" w:rsidRDefault="00867314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Reporting</w:t>
            </w:r>
            <w:r w:rsidR="00C662EE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gives a clear and accurate picture of assessment work to external audiences.</w:t>
            </w:r>
          </w:p>
        </w:tc>
        <w:tc>
          <w:tcPr>
            <w:tcW w:w="4050" w:type="dxa"/>
          </w:tcPr>
          <w:p w14:paraId="37BB7605" w14:textId="069019CD" w:rsidR="0064789A" w:rsidRPr="00506159" w:rsidRDefault="00867314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662EE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eport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value to the assessment process</w:t>
            </w:r>
            <w:r w:rsidR="00C662EE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either by its content (i.e.: charts and graphs) or by its process (i.e.: collaborative written, internally circulated, etc).</w:t>
            </w:r>
          </w:p>
        </w:tc>
      </w:tr>
      <w:tr w:rsidR="0064789A" w:rsidRPr="0064789A" w14:paraId="1AD9B912" w14:textId="77777777" w:rsidTr="00BD6EB1">
        <w:tc>
          <w:tcPr>
            <w:tcW w:w="2515" w:type="dxa"/>
            <w:vAlign w:val="center"/>
          </w:tcPr>
          <w:p w14:paraId="243D0F2C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Use of Assessment Results</w:t>
            </w:r>
          </w:p>
        </w:tc>
        <w:tc>
          <w:tcPr>
            <w:tcW w:w="3510" w:type="dxa"/>
          </w:tcPr>
          <w:p w14:paraId="557BDDEE" w14:textId="1FC8E551" w:rsidR="0064789A" w:rsidRPr="00506159" w:rsidRDefault="006A429D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Recommendations are not evident or are disconnected from the analysis; </w:t>
            </w:r>
            <w:r w:rsidR="00867314" w:rsidRPr="00506159">
              <w:rPr>
                <w:rFonts w:ascii="Times New Roman" w:hAnsi="Times New Roman" w:cs="Times New Roman"/>
                <w:sz w:val="20"/>
                <w:szCs w:val="20"/>
              </w:rPr>
              <w:t>there is no discussion of prior assessment work or follow up on previous recommendations.</w:t>
            </w:r>
          </w:p>
        </w:tc>
        <w:tc>
          <w:tcPr>
            <w:tcW w:w="4050" w:type="dxa"/>
          </w:tcPr>
          <w:p w14:paraId="0BFDD03A" w14:textId="4E4C0C4E" w:rsidR="0064789A" w:rsidRPr="00506159" w:rsidRDefault="00867314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Recommendations are clearly connected to the outcomes assessed or issues uncovered; there is some discussion of how assessment links to other issues or development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in the department; there is follow up</w:t>
            </w:r>
            <w:r w:rsidR="00BD6EB1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 xml:space="preserve"> discussion of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earlier cycles of assessment.</w:t>
            </w:r>
          </w:p>
        </w:tc>
        <w:tc>
          <w:tcPr>
            <w:tcW w:w="4050" w:type="dxa"/>
          </w:tcPr>
          <w:p w14:paraId="2329EF9A" w14:textId="1CCA4780" w:rsidR="0064789A" w:rsidRPr="00506159" w:rsidRDefault="00867314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Recommendations 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 xml:space="preserve">are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clearly connect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>ed to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the outcomes assessed or issues uncovered; there is</w:t>
            </w:r>
            <w:r w:rsidR="00C42A5A"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meaningful discussion of how assessment links to issues in the department; recommendations from previous cycles of assessment clearly </w:t>
            </w:r>
            <w:r w:rsidR="006A429D">
              <w:rPr>
                <w:rFonts w:ascii="Times New Roman" w:hAnsi="Times New Roman" w:cs="Times New Roman"/>
                <w:sz w:val="20"/>
                <w:szCs w:val="20"/>
              </w:rPr>
              <w:t>support improvement.</w:t>
            </w:r>
          </w:p>
        </w:tc>
      </w:tr>
      <w:tr w:rsidR="0064789A" w:rsidRPr="0064789A" w14:paraId="13001FBA" w14:textId="77777777" w:rsidTr="00BD6EB1">
        <w:tc>
          <w:tcPr>
            <w:tcW w:w="2515" w:type="dxa"/>
            <w:vAlign w:val="center"/>
          </w:tcPr>
          <w:p w14:paraId="2D9D9E03" w14:textId="77777777" w:rsidR="0064789A" w:rsidRPr="0064789A" w:rsidRDefault="0064789A" w:rsidP="00BD6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89A">
              <w:rPr>
                <w:rFonts w:ascii="Times New Roman" w:hAnsi="Times New Roman" w:cs="Times New Roman"/>
                <w:b/>
              </w:rPr>
              <w:t>Assessment Plans</w:t>
            </w:r>
          </w:p>
        </w:tc>
        <w:tc>
          <w:tcPr>
            <w:tcW w:w="3510" w:type="dxa"/>
          </w:tcPr>
          <w:p w14:paraId="12C3B4F4" w14:textId="5FF48AAC" w:rsidR="0064789A" w:rsidRPr="00506159" w:rsidRDefault="00695A7D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There is no convincing discussion of plans for future assessment.</w:t>
            </w:r>
          </w:p>
        </w:tc>
        <w:tc>
          <w:tcPr>
            <w:tcW w:w="4050" w:type="dxa"/>
          </w:tcPr>
          <w:p w14:paraId="7901C2A3" w14:textId="28DB8436" w:rsidR="0064789A" w:rsidRPr="00506159" w:rsidRDefault="00695A7D" w:rsidP="00BD6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Outcomes to be assessed in the future are named; there is some understanding of when and where evidence will need to be collected.</w:t>
            </w:r>
          </w:p>
        </w:tc>
        <w:tc>
          <w:tcPr>
            <w:tcW w:w="4050" w:type="dxa"/>
          </w:tcPr>
          <w:p w14:paraId="5394EACA" w14:textId="1725C88D" w:rsidR="0064789A" w:rsidRPr="00506159" w:rsidRDefault="00695A7D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Outcomes to be assessed in the future are linked to a multi-year plan for assessment; plans or discussions guide assessment efforts, including when and where to collect evidence.</w:t>
            </w:r>
          </w:p>
        </w:tc>
      </w:tr>
      <w:tr w:rsidR="005442A6" w:rsidRPr="0064789A" w14:paraId="14FB3882" w14:textId="77777777" w:rsidTr="00BD6EB1">
        <w:tc>
          <w:tcPr>
            <w:tcW w:w="2515" w:type="dxa"/>
            <w:vAlign w:val="center"/>
          </w:tcPr>
          <w:p w14:paraId="6009363F" w14:textId="58E69C18" w:rsidR="005442A6" w:rsidRPr="0064789A" w:rsidRDefault="005442A6" w:rsidP="00544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Addresses WASC Core Competency</w:t>
            </w:r>
          </w:p>
        </w:tc>
        <w:tc>
          <w:tcPr>
            <w:tcW w:w="3510" w:type="dxa"/>
          </w:tcPr>
          <w:p w14:paraId="5C72FAEF" w14:textId="48DC26ED" w:rsidR="005442A6" w:rsidRPr="00506159" w:rsidRDefault="005442A6" w:rsidP="006A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There is no connection between LOs and WASC core competency.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Minimal discussion of core competency and how it relates to discipline or graduation requirements.</w:t>
            </w:r>
          </w:p>
        </w:tc>
        <w:tc>
          <w:tcPr>
            <w:tcW w:w="4050" w:type="dxa"/>
          </w:tcPr>
          <w:p w14:paraId="421179D1" w14:textId="577A2D8C" w:rsidR="005442A6" w:rsidRPr="00506159" w:rsidRDefault="005442A6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There is some alignment between at least one LO and core competency.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Assessment and analysis of relevant LO(s) have been c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 xml:space="preserve">onducted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in relation to discipline and graduation requirements.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 xml:space="preserve"> Thoughtful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discussion of how core competency is relevant to the discipline and graduation requirements.</w:t>
            </w:r>
          </w:p>
        </w:tc>
        <w:tc>
          <w:tcPr>
            <w:tcW w:w="4050" w:type="dxa"/>
          </w:tcPr>
          <w:p w14:paraId="337B1C58" w14:textId="6F6964BE" w:rsidR="005442A6" w:rsidRPr="00506159" w:rsidRDefault="005442A6" w:rsidP="0050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There is clear and explicit alignment between LO(s) and WASC core competency; existing documentation 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>is used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 xml:space="preserve"> to document assessment of WASC core competency.</w:t>
            </w:r>
            <w:r w:rsidR="00506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159">
              <w:rPr>
                <w:rFonts w:ascii="Times New Roman" w:hAnsi="Times New Roman" w:cs="Times New Roman"/>
                <w:sz w:val="20"/>
                <w:szCs w:val="20"/>
              </w:rPr>
              <w:t>Thoughtful analysis and discussion in relation to discipline and graduation requirements.</w:t>
            </w:r>
          </w:p>
        </w:tc>
      </w:tr>
    </w:tbl>
    <w:p w14:paraId="06CDDBF8" w14:textId="77777777" w:rsidR="0087423D" w:rsidRDefault="008C0FAA"/>
    <w:sectPr w:rsidR="0087423D" w:rsidSect="00BD6EB1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7335C" w14:textId="77777777" w:rsidR="008C0FAA" w:rsidRDefault="008C0FAA" w:rsidP="00BD6EB1">
      <w:pPr>
        <w:spacing w:after="0" w:line="240" w:lineRule="auto"/>
      </w:pPr>
      <w:r>
        <w:separator/>
      </w:r>
    </w:p>
  </w:endnote>
  <w:endnote w:type="continuationSeparator" w:id="0">
    <w:p w14:paraId="35FD2973" w14:textId="77777777" w:rsidR="008C0FAA" w:rsidRDefault="008C0FAA" w:rsidP="00BD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77E6" w14:textId="77777777" w:rsidR="008C0FAA" w:rsidRDefault="008C0FAA" w:rsidP="00BD6EB1">
      <w:pPr>
        <w:spacing w:after="0" w:line="240" w:lineRule="auto"/>
      </w:pPr>
      <w:r>
        <w:separator/>
      </w:r>
    </w:p>
  </w:footnote>
  <w:footnote w:type="continuationSeparator" w:id="0">
    <w:p w14:paraId="600E83A2" w14:textId="77777777" w:rsidR="008C0FAA" w:rsidRDefault="008C0FAA" w:rsidP="00BD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88D23" w14:textId="4CD16642" w:rsidR="00BD6EB1" w:rsidRPr="00BD6EB1" w:rsidRDefault="00BD6EB1" w:rsidP="00F20354">
    <w:pPr>
      <w:pStyle w:val="Header"/>
      <w:rPr>
        <w:rFonts w:ascii="Times New Roman" w:hAnsi="Times New Roman" w:cs="Times New Roman"/>
      </w:rPr>
    </w:pPr>
    <w:bookmarkStart w:id="0" w:name="_GoBack"/>
    <w:r w:rsidRPr="00BD6EB1">
      <w:rPr>
        <w:rFonts w:ascii="Times New Roman" w:hAnsi="Times New Roman" w:cs="Times New Roman"/>
      </w:rPr>
      <w:t xml:space="preserve">Rubric for Assessment </w:t>
    </w:r>
    <w:r w:rsidR="005442A6">
      <w:rPr>
        <w:rFonts w:ascii="Times New Roman" w:hAnsi="Times New Roman" w:cs="Times New Roman"/>
      </w:rPr>
      <w:t>Reporting</w:t>
    </w:r>
    <w:r w:rsidR="00F20354">
      <w:rPr>
        <w:rFonts w:ascii="Times New Roman" w:hAnsi="Times New Roman" w:cs="Times New Roman"/>
      </w:rPr>
      <w:tab/>
    </w:r>
    <w:r w:rsidR="00F20354">
      <w:rPr>
        <w:rFonts w:ascii="Times New Roman" w:hAnsi="Times New Roman" w:cs="Times New Roman"/>
      </w:rPr>
      <w:tab/>
    </w:r>
    <w:r w:rsidR="00F20354">
      <w:rPr>
        <w:rFonts w:ascii="Times New Roman" w:hAnsi="Times New Roman" w:cs="Times New Roman"/>
      </w:rPr>
      <w:tab/>
      <w:t>Dept:________________________________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9A"/>
    <w:rsid w:val="00294753"/>
    <w:rsid w:val="002B11E7"/>
    <w:rsid w:val="002F5E72"/>
    <w:rsid w:val="00301954"/>
    <w:rsid w:val="003E0794"/>
    <w:rsid w:val="004055F6"/>
    <w:rsid w:val="00506159"/>
    <w:rsid w:val="005442A6"/>
    <w:rsid w:val="0064789A"/>
    <w:rsid w:val="00695A7D"/>
    <w:rsid w:val="006A429D"/>
    <w:rsid w:val="007B6E35"/>
    <w:rsid w:val="00856A4C"/>
    <w:rsid w:val="00867314"/>
    <w:rsid w:val="008C0FAA"/>
    <w:rsid w:val="009D74DB"/>
    <w:rsid w:val="00BD6EB1"/>
    <w:rsid w:val="00BE3DC9"/>
    <w:rsid w:val="00C42A5A"/>
    <w:rsid w:val="00C662EE"/>
    <w:rsid w:val="00C81756"/>
    <w:rsid w:val="00D45AB9"/>
    <w:rsid w:val="00F20354"/>
    <w:rsid w:val="00F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8A2E"/>
  <w15:chartTrackingRefBased/>
  <w15:docId w15:val="{8DA8890B-30CE-4696-A923-F1D75AA2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5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5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B1"/>
  </w:style>
  <w:style w:type="paragraph" w:styleId="Footer">
    <w:name w:val="footer"/>
    <w:basedOn w:val="Normal"/>
    <w:link w:val="FooterChar"/>
    <w:uiPriority w:val="99"/>
    <w:unhideWhenUsed/>
    <w:rsid w:val="00B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Coyne</dc:creator>
  <cp:keywords/>
  <dc:description/>
  <cp:lastModifiedBy>Anna Finn</cp:lastModifiedBy>
  <cp:revision>2</cp:revision>
  <dcterms:created xsi:type="dcterms:W3CDTF">2019-01-14T18:16:00Z</dcterms:created>
  <dcterms:modified xsi:type="dcterms:W3CDTF">2019-01-14T18:16:00Z</dcterms:modified>
</cp:coreProperties>
</file>